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8977D09" w14:textId="77777777" w:rsidR="00440D89" w:rsidRDefault="00440D89" w:rsidP="00440D89">
      <w:pPr>
        <w:ind w:left="0"/>
        <w:rPr>
          <w:rFonts w:cs="Arial"/>
          <w:lang w:val="es-ES_tradnl"/>
        </w:rPr>
      </w:pPr>
    </w:p>
    <w:sdt>
      <w:sdtPr>
        <w:rPr>
          <w:rFonts w:cs="Arial"/>
          <w:lang w:val="es-ES_tradnl"/>
        </w:rPr>
        <w:id w:val="-1743633326"/>
        <w:docPartObj>
          <w:docPartGallery w:val="Cover Pages"/>
          <w:docPartUnique/>
        </w:docPartObj>
      </w:sdtPr>
      <w:sdtEndPr>
        <w:rPr>
          <w:caps/>
        </w:rPr>
      </w:sdtEndPr>
      <w:sdtContent>
        <w:p w14:paraId="16A4C2C6" w14:textId="77777777" w:rsidR="00422AC5" w:rsidRPr="00AC4499" w:rsidRDefault="00422AC5" w:rsidP="00830E21">
          <w:pPr>
            <w:ind w:firstLine="284"/>
            <w:rPr>
              <w:rFonts w:cs="Arial"/>
              <w:lang w:val="es-ES_tradnl"/>
            </w:rPr>
          </w:pPr>
        </w:p>
        <w:p w14:paraId="49D0ED1C" w14:textId="77777777" w:rsidR="00422AC5" w:rsidRPr="00AC4499" w:rsidRDefault="00AA1D3F" w:rsidP="00830E21">
          <w:pPr>
            <w:ind w:firstLine="284"/>
            <w:rPr>
              <w:rFonts w:cs="Arial"/>
              <w:lang w:val="es-ES_tradnl"/>
            </w:rPr>
          </w:pPr>
          <w:r w:rsidRPr="00AC4499">
            <w:rPr>
              <w:rFonts w:cs="Arial"/>
              <w:noProof/>
              <w:lang w:val="es-ES" w:eastAsia="es-ES"/>
            </w:rPr>
            <w:drawing>
              <wp:anchor distT="0" distB="0" distL="114300" distR="114300" simplePos="0" relativeHeight="251655680" behindDoc="0" locked="0" layoutInCell="0" allowOverlap="1" wp14:anchorId="015DE32D" wp14:editId="09E0E4DB">
                <wp:simplePos x="0" y="0"/>
                <wp:positionH relativeFrom="page">
                  <wp:posOffset>2314772</wp:posOffset>
                </wp:positionH>
                <wp:positionV relativeFrom="page">
                  <wp:posOffset>3797300</wp:posOffset>
                </wp:positionV>
                <wp:extent cx="4931410" cy="3698875"/>
                <wp:effectExtent l="323850" t="323850" r="326390" b="3206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1410" cy="3698875"/>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r w:rsidR="00440D89" w:rsidRPr="00AC4499">
            <w:rPr>
              <w:rFonts w:cs="Arial"/>
              <w:noProof/>
              <w:lang w:val="es-ES" w:eastAsia="es-ES"/>
            </w:rPr>
            <mc:AlternateContent>
              <mc:Choice Requires="wps">
                <w:drawing>
                  <wp:anchor distT="0" distB="0" distL="114300" distR="114300" simplePos="0" relativeHeight="251665920" behindDoc="0" locked="0" layoutInCell="1" allowOverlap="1" wp14:anchorId="13B85F2F" wp14:editId="232840D7">
                    <wp:simplePos x="0" y="0"/>
                    <wp:positionH relativeFrom="column">
                      <wp:posOffset>4124325</wp:posOffset>
                    </wp:positionH>
                    <wp:positionV relativeFrom="paragraph">
                      <wp:posOffset>6920865</wp:posOffset>
                    </wp:positionV>
                    <wp:extent cx="2005965" cy="1160145"/>
                    <wp:effectExtent l="0" t="0" r="0" b="190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9AAF8" w14:textId="3E306235" w:rsidR="00A5627F" w:rsidRDefault="00A5627F" w:rsidP="00C41631">
                                <w:pPr>
                                  <w:jc w:val="right"/>
                                  <w:rPr>
                                    <w:lang w:val="es-ES_tradnl"/>
                                  </w:rPr>
                                </w:pPr>
                                <w:r>
                                  <w:rPr>
                                    <w:rFonts w:ascii="Calibri" w:hAnsi="Calibri"/>
                                    <w:lang w:val="es-ES_tradnl"/>
                                  </w:rPr>
                                  <w:t>Enrique Molina Jordano</w:t>
                                </w:r>
                                <w:r w:rsidRPr="005D1FE0">
                                  <w:rPr>
                                    <w:lang w:val="es-ES_tradnl"/>
                                  </w:rPr>
                                  <w:br/>
                                </w:r>
                                <w:r>
                                  <w:rPr>
                                    <w:rFonts w:ascii="Calibri" w:hAnsi="Calibri"/>
                                    <w:lang w:val="es-ES_tradnl"/>
                                  </w:rPr>
                                  <w:t>Octubre de 2014</w:t>
                                </w:r>
                              </w:p>
                              <w:p w14:paraId="6BE0A051" w14:textId="77777777" w:rsidR="00A5627F" w:rsidRPr="005D1FE0" w:rsidRDefault="00A5627F" w:rsidP="00C41631">
                                <w:pPr>
                                  <w:jc w:val="right"/>
                                  <w:rPr>
                                    <w:lang w:val="es-ES_tradnl"/>
                                  </w:rPr>
                                </w:pPr>
                                <w:r>
                                  <w:rPr>
                                    <w:rFonts w:ascii="Calibri" w:hAnsi="Calibri"/>
                                    <w:lang w:val="es-ES_tradnl"/>
                                  </w:rPr>
                                  <w:t>enriquemolinaj@gmail</w:t>
                                </w:r>
                                <w:r w:rsidRPr="005D1FE0">
                                  <w:rPr>
                                    <w:rFonts w:ascii="Calibri" w:hAnsi="Calibri"/>
                                    <w:lang w:val="es-ES_tradnl"/>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85F2F" id="_x0000_t202" coordsize="21600,21600" o:spt="202" path="m,l,21600r21600,l21600,xe">
                    <v:stroke joinstyle="miter"/>
                    <v:path gradientshapeok="t" o:connecttype="rect"/>
                  </v:shapetype>
                  <v:shape id="Text Box 10" o:spid="_x0000_s1026" type="#_x0000_t202" style="position:absolute;left:0;text-align:left;margin-left:324.75pt;margin-top:544.95pt;width:157.95pt;height:9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0KggIAABE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" stroked="f">
                    <v:textbox>
                      <w:txbxContent>
                        <w:p w14:paraId="16B9AAF8" w14:textId="3E306235" w:rsidR="00A5627F" w:rsidRDefault="00A5627F" w:rsidP="00C41631">
                          <w:pPr>
                            <w:jc w:val="right"/>
                            <w:rPr>
                              <w:lang w:val="es-ES_tradnl"/>
                            </w:rPr>
                          </w:pPr>
                          <w:r>
                            <w:rPr>
                              <w:rFonts w:ascii="Calibri" w:hAnsi="Calibri"/>
                              <w:lang w:val="es-ES_tradnl"/>
                            </w:rPr>
                            <w:t>Enrique Molina Jordano</w:t>
                          </w:r>
                          <w:r w:rsidRPr="005D1FE0">
                            <w:rPr>
                              <w:lang w:val="es-ES_tradnl"/>
                            </w:rPr>
                            <w:br/>
                          </w:r>
                          <w:r>
                            <w:rPr>
                              <w:rFonts w:ascii="Calibri" w:hAnsi="Calibri"/>
                              <w:lang w:val="es-ES_tradnl"/>
                            </w:rPr>
                            <w:t>Octubre de 2014</w:t>
                          </w:r>
                        </w:p>
                        <w:p w14:paraId="6BE0A051" w14:textId="77777777" w:rsidR="00A5627F" w:rsidRPr="005D1FE0" w:rsidRDefault="00A5627F" w:rsidP="00C41631">
                          <w:pPr>
                            <w:jc w:val="right"/>
                            <w:rPr>
                              <w:lang w:val="es-ES_tradnl"/>
                            </w:rPr>
                          </w:pPr>
                          <w:r>
                            <w:rPr>
                              <w:rFonts w:ascii="Calibri" w:hAnsi="Calibri"/>
                              <w:lang w:val="es-ES_tradnl"/>
                            </w:rPr>
                            <w:t>enriquemolinaj@gmail</w:t>
                          </w:r>
                          <w:r w:rsidRPr="005D1FE0">
                            <w:rPr>
                              <w:rFonts w:ascii="Calibri" w:hAnsi="Calibri"/>
                              <w:lang w:val="es-ES_tradnl"/>
                            </w:rPr>
                            <w:t>.com</w:t>
                          </w:r>
                        </w:p>
                      </w:txbxContent>
                    </v:textbox>
                  </v:shape>
                </w:pict>
              </mc:Fallback>
            </mc:AlternateContent>
          </w:r>
          <w:r w:rsidR="00B84F7A" w:rsidRPr="00AC4499">
            <w:rPr>
              <w:rFonts w:cs="Arial"/>
              <w:noProof/>
              <w:lang w:val="es-ES" w:eastAsia="es-ES"/>
            </w:rPr>
            <mc:AlternateContent>
              <mc:Choice Requires="wps">
                <w:drawing>
                  <wp:anchor distT="0" distB="0" distL="114300" distR="114300" simplePos="0" relativeHeight="251661824" behindDoc="0" locked="0" layoutInCell="0" allowOverlap="1" wp14:anchorId="5A4C411F" wp14:editId="3A6B2F9F">
                    <wp:simplePos x="0" y="0"/>
                    <wp:positionH relativeFrom="page">
                      <wp:posOffset>-76200</wp:posOffset>
                    </wp:positionH>
                    <wp:positionV relativeFrom="page">
                      <wp:posOffset>2831465</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9050">
                              <a:solidFill>
                                <a:srgbClr val="FF0000"/>
                              </a:solidFill>
                              <a:miter lim="800000"/>
                              <a:headEnd/>
                              <a:tailEnd/>
                            </a:ln>
                          </wps:spPr>
                          <wps:txbx>
                            <w:txbxContent>
                              <w:p w14:paraId="15AEC36B" w14:textId="77777777" w:rsidR="00A5627F" w:rsidRPr="00AA1D3F" w:rsidRDefault="00A5627F" w:rsidP="008518D0">
                                <w:pPr>
                                  <w:pStyle w:val="Sinespaciado"/>
                                  <w:rPr>
                                    <w:rFonts w:ascii="Arial" w:eastAsiaTheme="majorEastAsia" w:hAnsi="Arial" w:cs="Arial"/>
                                    <w:b/>
                                    <w:color w:val="FF0000"/>
                                    <w:spacing w:val="10"/>
                                    <w:sz w:val="40"/>
                                    <w:szCs w:val="40"/>
                                    <w:lang w:val="es-ES_tradnl"/>
                                    <w14:glow w14:rad="38100">
                                      <w14:schemeClr w14:val="accent1">
                                        <w14:alpha w14:val="60000"/>
                                      </w14:schemeClr>
                                    </w14:glow>
                                    <w14:textOutline w14:w="9525" w14:cap="flat" w14:cmpd="sng" w14:algn="ctr">
                                      <w14:solidFill>
                                        <w14:schemeClr w14:val="accent1"/>
                                      </w14:solidFill>
                                      <w14:prstDash w14:val="solid"/>
                                      <w14:round/>
                                    </w14:textOutline>
                                  </w:rPr>
                                </w:pPr>
                                <w:r w:rsidRPr="00AA1D3F">
                                  <w:rPr>
                                    <w:rFonts w:ascii="Arial" w:hAnsi="Arial" w:cs="Arial"/>
                                    <w:b/>
                                    <w:color w:val="FF0000"/>
                                    <w:spacing w:val="10"/>
                                    <w:sz w:val="40"/>
                                    <w:szCs w:val="40"/>
                                    <w:lang w:val="es-ES_tradnl"/>
                                    <w14:glow w14:rad="38100">
                                      <w14:schemeClr w14:val="accent1">
                                        <w14:alpha w14:val="60000"/>
                                      </w14:schemeClr>
                                    </w14:glow>
                                    <w14:textOutline w14:w="9525" w14:cap="flat" w14:cmpd="sng" w14:algn="ctr">
                                      <w14:solidFill>
                                        <w14:schemeClr w14:val="accent1"/>
                                      </w14:solidFill>
                                      <w14:prstDash w14:val="solid"/>
                                      <w14:round/>
                                    </w14:textOutline>
                                  </w:rPr>
                                  <w:t>Patentes Farmacéuticas y Prácticas de Evergreening</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4C411F" id="Rectangle 16" o:spid="_x0000_s1027" style="position:absolute;left:0;text-align:left;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" o:allowincell="f" fillcolor="#1cade4 [3204]" strokecolor="red" strokeweight="1.5pt">
                    <v:textbox inset="14.4pt,,14.4pt">
                      <w:txbxContent>
                        <w:p w14:paraId="15AEC36B" w14:textId="77777777" w:rsidR="00A5627F" w:rsidRPr="00AA1D3F" w:rsidRDefault="00A5627F" w:rsidP="008518D0">
                          <w:pPr>
                            <w:pStyle w:val="Sinespaciado"/>
                            <w:rPr>
                              <w:rFonts w:ascii="Arial" w:eastAsiaTheme="majorEastAsia" w:hAnsi="Arial" w:cs="Arial"/>
                              <w:b/>
                              <w:color w:val="FF0000"/>
                              <w:spacing w:val="10"/>
                              <w:sz w:val="40"/>
                              <w:szCs w:val="40"/>
                              <w:lang w:val="es-ES_tradnl"/>
                              <w14:glow w14:rad="38100">
                                <w14:schemeClr w14:val="accent1">
                                  <w14:alpha w14:val="60000"/>
                                </w14:schemeClr>
                              </w14:glow>
                              <w14:textOutline w14:w="9525" w14:cap="flat" w14:cmpd="sng" w14:algn="ctr">
                                <w14:solidFill>
                                  <w14:schemeClr w14:val="accent1"/>
                                </w14:solidFill>
                                <w14:prstDash w14:val="solid"/>
                                <w14:round/>
                              </w14:textOutline>
                            </w:rPr>
                          </w:pPr>
                          <w:r w:rsidRPr="00AA1D3F">
                            <w:rPr>
                              <w:rFonts w:ascii="Arial" w:hAnsi="Arial" w:cs="Arial"/>
                              <w:b/>
                              <w:color w:val="FF0000"/>
                              <w:spacing w:val="10"/>
                              <w:sz w:val="40"/>
                              <w:szCs w:val="40"/>
                              <w:lang w:val="es-ES_tradnl"/>
                              <w14:glow w14:rad="38100">
                                <w14:schemeClr w14:val="accent1">
                                  <w14:alpha w14:val="60000"/>
                                </w14:schemeClr>
                              </w14:glow>
                              <w14:textOutline w14:w="9525" w14:cap="flat" w14:cmpd="sng" w14:algn="ctr">
                                <w14:solidFill>
                                  <w14:schemeClr w14:val="accent1"/>
                                </w14:solidFill>
                                <w14:prstDash w14:val="solid"/>
                                <w14:round/>
                              </w14:textOutline>
                            </w:rPr>
                            <w:t>Patentes Farmacéuticas y Prácticas de Evergreening</w:t>
                          </w:r>
                        </w:p>
                      </w:txbxContent>
                    </v:textbox>
                    <w10:wrap anchorx="page" anchory="page"/>
                  </v:rect>
                </w:pict>
              </mc:Fallback>
            </mc:AlternateContent>
          </w:r>
          <w:r w:rsidR="00422AC5" w:rsidRPr="00AC4499">
            <w:rPr>
              <w:rFonts w:cs="Arial"/>
              <w:caps/>
              <w:lang w:val="es-ES_tradnl"/>
            </w:rPr>
            <w:br w:type="page"/>
          </w:r>
        </w:p>
      </w:sdtContent>
    </w:sdt>
    <w:p w14:paraId="6F253A70" w14:textId="77777777" w:rsidR="00830E21" w:rsidRDefault="00830E21" w:rsidP="00830E21">
      <w:pPr>
        <w:pStyle w:val="Etiquetadefilas"/>
        <w:spacing w:before="0"/>
        <w:jc w:val="center"/>
        <w:rPr>
          <w:rFonts w:ascii="Arial" w:hAnsi="Arial" w:cs="Arial"/>
          <w:color w:val="1CADE4" w:themeColor="accent1"/>
          <w:szCs w:val="22"/>
        </w:rPr>
      </w:pPr>
    </w:p>
    <w:p w14:paraId="023FD0C7" w14:textId="77777777" w:rsidR="00830E21" w:rsidRDefault="00830E21" w:rsidP="00830E21">
      <w:pPr>
        <w:pStyle w:val="Etiquetadefilas"/>
        <w:spacing w:before="0"/>
        <w:jc w:val="center"/>
        <w:rPr>
          <w:rFonts w:ascii="Arial" w:hAnsi="Arial" w:cs="Arial"/>
          <w:color w:val="1CADE4" w:themeColor="accent1"/>
          <w:szCs w:val="22"/>
        </w:rPr>
      </w:pPr>
    </w:p>
    <w:p w14:paraId="65391FF5" w14:textId="77777777" w:rsidR="00830E21" w:rsidRPr="00830E21" w:rsidRDefault="00830E21" w:rsidP="00830E21">
      <w:pPr>
        <w:pBdr>
          <w:top w:val="single" w:sz="8" w:space="1" w:color="FF0000"/>
          <w:left w:val="single" w:sz="8" w:space="4" w:color="FF0000"/>
          <w:bottom w:val="single" w:sz="8" w:space="1" w:color="FF0000"/>
          <w:right w:val="single" w:sz="8" w:space="4" w:color="FF0000"/>
        </w:pBdr>
        <w:ind w:left="-284" w:right="-284"/>
        <w:jc w:val="center"/>
        <w:rPr>
          <w:rFonts w:cs="Arial"/>
          <w:b/>
          <w:color w:val="1CADE4" w:themeColor="accent1"/>
          <w:sz w:val="28"/>
          <w:szCs w:val="28"/>
          <w:lang w:val="es-ES"/>
        </w:rPr>
      </w:pPr>
      <w:r w:rsidRPr="00830E21">
        <w:rPr>
          <w:rFonts w:cs="Arial"/>
          <w:b/>
          <w:color w:val="1CADE4" w:themeColor="accent1"/>
          <w:sz w:val="28"/>
          <w:szCs w:val="28"/>
          <w:lang w:val="es-ES"/>
        </w:rPr>
        <w:t>PATENTES FAMACÉUTICAS Y PRÁCTICAS DE EVERGREENING</w:t>
      </w:r>
    </w:p>
    <w:p w14:paraId="5B8BE6A7" w14:textId="77777777" w:rsidR="00440D89" w:rsidRDefault="00440D89" w:rsidP="00830E21">
      <w:pPr>
        <w:jc w:val="center"/>
        <w:rPr>
          <w:rFonts w:cs="Arial"/>
          <w:b/>
          <w:color w:val="1CADE4" w:themeColor="accent1"/>
          <w:szCs w:val="28"/>
          <w:lang w:val="es-ES"/>
        </w:rPr>
      </w:pPr>
    </w:p>
    <w:p w14:paraId="211C6DAF" w14:textId="77777777" w:rsidR="00830E21" w:rsidRPr="003E4429" w:rsidRDefault="00830E21" w:rsidP="00830E21">
      <w:pPr>
        <w:jc w:val="center"/>
        <w:rPr>
          <w:rFonts w:cs="Arial"/>
          <w:b/>
          <w:color w:val="1CADE4" w:themeColor="accent1"/>
          <w:szCs w:val="28"/>
          <w:lang w:val="es-ES"/>
        </w:rPr>
      </w:pPr>
      <w:r w:rsidRPr="003E4429">
        <w:rPr>
          <w:rFonts w:cs="Arial"/>
          <w:b/>
          <w:color w:val="1CADE4" w:themeColor="accent1"/>
          <w:szCs w:val="28"/>
          <w:lang w:val="es-ES"/>
        </w:rPr>
        <w:t>Enrique Molina Jordano</w:t>
      </w:r>
    </w:p>
    <w:p w14:paraId="5AA8A452" w14:textId="77777777" w:rsidR="00830E21" w:rsidRPr="00830E21" w:rsidRDefault="00830E21" w:rsidP="00830E21">
      <w:pPr>
        <w:pStyle w:val="Etiquetadefilas"/>
        <w:spacing w:before="0"/>
        <w:jc w:val="center"/>
        <w:rPr>
          <w:rFonts w:ascii="Arial" w:hAnsi="Arial" w:cs="Arial"/>
          <w:color w:val="1CADE4" w:themeColor="accent1"/>
          <w:sz w:val="22"/>
          <w:szCs w:val="22"/>
        </w:rPr>
      </w:pPr>
    </w:p>
    <w:p w14:paraId="12B4BE26" w14:textId="77777777" w:rsidR="00830E21" w:rsidRDefault="008518D0" w:rsidP="00830E21">
      <w:pPr>
        <w:pStyle w:val="Etiquetadefilas"/>
        <w:spacing w:before="0"/>
        <w:rPr>
          <w:rFonts w:ascii="Arial" w:hAnsi="Arial" w:cs="Arial"/>
          <w:color w:val="FF0000"/>
          <w:szCs w:val="22"/>
        </w:rPr>
      </w:pPr>
      <w:bookmarkStart w:id="0" w:name="_Toc400525375"/>
      <w:r w:rsidRPr="00830E21">
        <w:rPr>
          <w:rFonts w:ascii="Arial" w:hAnsi="Arial" w:cs="Arial"/>
          <w:color w:val="FF0000"/>
          <w:szCs w:val="22"/>
        </w:rPr>
        <w:t>R</w:t>
      </w:r>
      <w:r w:rsidR="00830E21">
        <w:rPr>
          <w:rFonts w:ascii="Arial" w:hAnsi="Arial" w:cs="Arial"/>
          <w:color w:val="FF0000"/>
          <w:szCs w:val="22"/>
        </w:rPr>
        <w:t>ESUMEN</w:t>
      </w:r>
      <w:bookmarkEnd w:id="0"/>
    </w:p>
    <w:p w14:paraId="3AEF81E9" w14:textId="77777777" w:rsidR="00440D89" w:rsidRPr="00830E21" w:rsidRDefault="00440D89" w:rsidP="00830E21">
      <w:pPr>
        <w:pStyle w:val="Etiquetadefilas"/>
        <w:spacing w:before="0"/>
        <w:rPr>
          <w:rFonts w:ascii="Arial" w:hAnsi="Arial" w:cs="Arial"/>
          <w:color w:val="FF0000"/>
          <w:szCs w:val="22"/>
        </w:rPr>
      </w:pPr>
    </w:p>
    <w:p w14:paraId="115793C6" w14:textId="6D8FD8D0" w:rsidR="007A50F0" w:rsidRPr="00AC4499" w:rsidRDefault="008518D0" w:rsidP="00130663">
      <w:pPr>
        <w:ind w:left="0" w:firstLine="284"/>
        <w:rPr>
          <w:rFonts w:cs="Arial"/>
          <w:lang w:val="es-ES_tradnl"/>
        </w:rPr>
      </w:pPr>
      <w:r w:rsidRPr="00AC4499">
        <w:rPr>
          <w:rFonts w:cs="Arial"/>
          <w:lang w:val="es-ES_tradnl"/>
        </w:rPr>
        <w:t xml:space="preserve">El objetivo del presente documento es </w:t>
      </w:r>
      <w:r w:rsidR="00A83135" w:rsidRPr="00AC4499">
        <w:rPr>
          <w:rFonts w:cs="Arial"/>
          <w:lang w:val="es-ES_tradnl"/>
        </w:rPr>
        <w:t xml:space="preserve">que el lector pueda </w:t>
      </w:r>
      <w:r w:rsidR="00830E21">
        <w:rPr>
          <w:rFonts w:cs="Arial"/>
          <w:lang w:val="es-ES_tradnl"/>
        </w:rPr>
        <w:t>aproximarse</w:t>
      </w:r>
      <w:r w:rsidR="00A5627F">
        <w:rPr>
          <w:rFonts w:cs="Arial"/>
          <w:lang w:val="es-ES_tradnl"/>
        </w:rPr>
        <w:t>,</w:t>
      </w:r>
      <w:r w:rsidR="00A83135" w:rsidRPr="00AC4499">
        <w:rPr>
          <w:rFonts w:cs="Arial"/>
          <w:lang w:val="es-ES_tradnl"/>
        </w:rPr>
        <w:t xml:space="preserve"> de una m</w:t>
      </w:r>
      <w:r w:rsidR="00A5627F">
        <w:rPr>
          <w:rFonts w:cs="Arial"/>
          <w:lang w:val="es-ES_tradnl"/>
        </w:rPr>
        <w:t>anera sencilla pero exhaustiva, a</w:t>
      </w:r>
      <w:r w:rsidR="00A83135" w:rsidRPr="00AC4499">
        <w:rPr>
          <w:rFonts w:cs="Arial"/>
          <w:lang w:val="es-ES_tradnl"/>
        </w:rPr>
        <w:t>l complejo sistema de patentes que protege a los m</w:t>
      </w:r>
      <w:r w:rsidR="0050693B">
        <w:rPr>
          <w:rFonts w:cs="Arial"/>
          <w:lang w:val="es-ES_tradnl"/>
        </w:rPr>
        <w:t>edicamentos de uso humano en España y sobre todo en la Unión Europea</w:t>
      </w:r>
      <w:r w:rsidR="00A83135" w:rsidRPr="00AC4499">
        <w:rPr>
          <w:rFonts w:cs="Arial"/>
          <w:lang w:val="es-ES_tradnl"/>
        </w:rPr>
        <w:t xml:space="preserve">. Además se examinarán los principales retos que las compañías del sector han de acometer en relación con este tema: </w:t>
      </w:r>
      <w:r w:rsidR="0050693B">
        <w:rPr>
          <w:rFonts w:cs="Arial"/>
          <w:lang w:val="es-ES_tradnl"/>
        </w:rPr>
        <w:t>la entrada en juego de la patente unitaria y la Corte Unificada de Patentes; la competencia de los medicamentos genéricos y biosimilares</w:t>
      </w:r>
      <w:r w:rsidR="00830E21">
        <w:rPr>
          <w:rFonts w:cs="Arial"/>
          <w:lang w:val="es-ES_tradnl"/>
        </w:rPr>
        <w:t xml:space="preserve">; </w:t>
      </w:r>
      <w:r w:rsidR="00A83135" w:rsidRPr="00AC4499">
        <w:rPr>
          <w:rFonts w:cs="Arial"/>
          <w:lang w:val="es-ES_tradnl"/>
        </w:rPr>
        <w:t>el temido “</w:t>
      </w:r>
      <w:r w:rsidR="00A83135" w:rsidRPr="00AC4499">
        <w:rPr>
          <w:rFonts w:cs="Arial"/>
          <w:i/>
          <w:lang w:val="es-ES_tradnl"/>
        </w:rPr>
        <w:t>Patent</w:t>
      </w:r>
      <w:r w:rsidR="00A83135" w:rsidRPr="00AC4499">
        <w:rPr>
          <w:rFonts w:cs="Arial"/>
          <w:lang w:val="es-ES_tradnl"/>
        </w:rPr>
        <w:t xml:space="preserve"> </w:t>
      </w:r>
      <w:r w:rsidR="00A83135" w:rsidRPr="00AC4499">
        <w:rPr>
          <w:rFonts w:cs="Arial"/>
          <w:i/>
          <w:lang w:val="es-ES_tradnl"/>
        </w:rPr>
        <w:t>Cliff</w:t>
      </w:r>
      <w:r w:rsidR="00A5627F">
        <w:rPr>
          <w:rFonts w:cs="Arial"/>
          <w:lang w:val="es-ES_tradnl"/>
        </w:rPr>
        <w:t xml:space="preserve">”; </w:t>
      </w:r>
      <w:r w:rsidR="00A83135" w:rsidRPr="00AC4499">
        <w:rPr>
          <w:rFonts w:cs="Arial"/>
          <w:lang w:val="es-ES_tradnl"/>
        </w:rPr>
        <w:t>las prácticas de “</w:t>
      </w:r>
      <w:r w:rsidR="00A83135" w:rsidRPr="00AC4499">
        <w:rPr>
          <w:rFonts w:cs="Arial"/>
          <w:i/>
          <w:lang w:val="es-ES_tradnl"/>
        </w:rPr>
        <w:t>Evergreening</w:t>
      </w:r>
      <w:r w:rsidR="00A83135" w:rsidRPr="00AC4499">
        <w:rPr>
          <w:rFonts w:cs="Arial"/>
          <w:lang w:val="es-ES_tradnl"/>
        </w:rPr>
        <w:t>”</w:t>
      </w:r>
      <w:r w:rsidR="0050693B">
        <w:rPr>
          <w:rFonts w:cs="Arial"/>
          <w:lang w:val="es-ES_tradnl"/>
        </w:rPr>
        <w:t xml:space="preserve"> y las posibles infracciones de las leyes de la competencia que estas pueden generar.</w:t>
      </w:r>
    </w:p>
    <w:p w14:paraId="67CCDB62" w14:textId="77777777" w:rsidR="005C0F56" w:rsidRPr="00AC4499" w:rsidRDefault="005C0F56" w:rsidP="00830E21">
      <w:pPr>
        <w:rPr>
          <w:rFonts w:cs="Arial"/>
          <w:lang w:val="es-ES_tradnl"/>
        </w:rPr>
      </w:pPr>
      <w:r w:rsidRPr="00AC4499">
        <w:rPr>
          <w:rFonts w:cs="Arial"/>
          <w:lang w:val="es-ES_tradnl"/>
        </w:rPr>
        <w:br w:type="column"/>
      </w:r>
    </w:p>
    <w:sdt>
      <w:sdtPr>
        <w:rPr>
          <w:rFonts w:eastAsiaTheme="minorEastAsia" w:cstheme="minorBidi"/>
          <w:b w:val="0"/>
          <w:bCs w:val="0"/>
          <w:color w:val="auto"/>
          <w:sz w:val="22"/>
          <w:szCs w:val="22"/>
          <w:lang w:val="es-ES"/>
        </w:rPr>
        <w:id w:val="390388191"/>
        <w:docPartObj>
          <w:docPartGallery w:val="Table of Contents"/>
          <w:docPartUnique/>
        </w:docPartObj>
      </w:sdtPr>
      <w:sdtEndPr>
        <w:rPr>
          <w:lang w:val="en-US"/>
        </w:rPr>
      </w:sdtEndPr>
      <w:sdtContent>
        <w:p w14:paraId="3909313E" w14:textId="77777777" w:rsidR="003A04A9" w:rsidRDefault="003A04A9" w:rsidP="008840BB">
          <w:pPr>
            <w:pStyle w:val="TtulodeTDC"/>
            <w:rPr>
              <w:lang w:val="es-ES"/>
            </w:rPr>
          </w:pPr>
          <w:r>
            <w:rPr>
              <w:lang w:val="es-ES"/>
            </w:rPr>
            <w:t>Tabla de contenido</w:t>
          </w:r>
        </w:p>
        <w:p w14:paraId="30B2EDEB" w14:textId="3A6BDD40" w:rsidR="003A04A9" w:rsidRPr="003A04A9" w:rsidRDefault="0050693B" w:rsidP="0050693B">
          <w:pPr>
            <w:tabs>
              <w:tab w:val="left" w:pos="3630"/>
            </w:tabs>
            <w:rPr>
              <w:lang w:val="es-ES"/>
            </w:rPr>
          </w:pPr>
          <w:r>
            <w:rPr>
              <w:lang w:val="es-ES"/>
            </w:rPr>
            <w:tab/>
          </w:r>
        </w:p>
        <w:p w14:paraId="2538A5C2" w14:textId="77777777" w:rsidR="00A5627F" w:rsidRDefault="003A04A9" w:rsidP="006061ED">
          <w:pPr>
            <w:pStyle w:val="TDC1"/>
            <w:tabs>
              <w:tab w:val="clear" w:pos="5040"/>
              <w:tab w:val="right" w:leader="dot" w:pos="7938"/>
            </w:tabs>
            <w:rPr>
              <w:rFonts w:asciiTheme="minorHAnsi" w:hAnsiTheme="minorHAnsi"/>
              <w:noProof/>
              <w:lang w:val="es-ES" w:eastAsia="es-ES"/>
            </w:rPr>
          </w:pPr>
          <w:r>
            <w:fldChar w:fldCharType="begin"/>
          </w:r>
          <w:r>
            <w:instrText xml:space="preserve"> TOC \o "1-3" \h \z \u </w:instrText>
          </w:r>
          <w:r>
            <w:fldChar w:fldCharType="separate"/>
          </w:r>
          <w:hyperlink w:anchor="_Toc400525375" w:history="1">
            <w:r w:rsidR="00A5627F" w:rsidRPr="006D4CEE">
              <w:rPr>
                <w:rStyle w:val="Hipervnculo"/>
                <w:rFonts w:cs="Arial"/>
                <w:noProof/>
              </w:rPr>
              <w:t>RESUMEN</w:t>
            </w:r>
            <w:r w:rsidR="00A5627F">
              <w:rPr>
                <w:noProof/>
                <w:webHidden/>
              </w:rPr>
              <w:tab/>
            </w:r>
            <w:r w:rsidR="00A5627F">
              <w:rPr>
                <w:noProof/>
                <w:webHidden/>
              </w:rPr>
              <w:fldChar w:fldCharType="begin"/>
            </w:r>
            <w:r w:rsidR="00A5627F">
              <w:rPr>
                <w:noProof/>
                <w:webHidden/>
              </w:rPr>
              <w:instrText xml:space="preserve"> PAGEREF _Toc400525375 \h </w:instrText>
            </w:r>
            <w:r w:rsidR="00A5627F">
              <w:rPr>
                <w:noProof/>
                <w:webHidden/>
              </w:rPr>
            </w:r>
            <w:r w:rsidR="00A5627F">
              <w:rPr>
                <w:noProof/>
                <w:webHidden/>
              </w:rPr>
              <w:fldChar w:fldCharType="separate"/>
            </w:r>
            <w:r w:rsidR="0099684C">
              <w:rPr>
                <w:noProof/>
                <w:webHidden/>
              </w:rPr>
              <w:t>1</w:t>
            </w:r>
            <w:r w:rsidR="00A5627F">
              <w:rPr>
                <w:noProof/>
                <w:webHidden/>
              </w:rPr>
              <w:fldChar w:fldCharType="end"/>
            </w:r>
          </w:hyperlink>
        </w:p>
        <w:p w14:paraId="733FBBD4" w14:textId="77777777" w:rsidR="006061ED" w:rsidRDefault="006061ED" w:rsidP="006061ED">
          <w:pPr>
            <w:pStyle w:val="TDC1"/>
            <w:tabs>
              <w:tab w:val="clear" w:pos="5040"/>
              <w:tab w:val="left" w:pos="1100"/>
              <w:tab w:val="right" w:leader="dot" w:pos="7938"/>
            </w:tabs>
            <w:rPr>
              <w:rStyle w:val="Hipervnculo"/>
              <w:noProof/>
            </w:rPr>
          </w:pPr>
        </w:p>
        <w:p w14:paraId="093BD23B" w14:textId="75C6F2E3" w:rsidR="00A5627F" w:rsidRDefault="00A5627F" w:rsidP="006061ED">
          <w:pPr>
            <w:pStyle w:val="TDC1"/>
            <w:tabs>
              <w:tab w:val="clear" w:pos="5040"/>
              <w:tab w:val="left" w:pos="1100"/>
              <w:tab w:val="right" w:leader="dot" w:pos="7938"/>
            </w:tabs>
            <w:rPr>
              <w:rFonts w:asciiTheme="minorHAnsi" w:hAnsiTheme="minorHAnsi"/>
              <w:noProof/>
              <w:lang w:val="es-ES" w:eastAsia="es-ES"/>
            </w:rPr>
          </w:pPr>
          <w:hyperlink w:anchor="_Toc400525376" w:history="1">
            <w:r w:rsidRPr="006D4CEE">
              <w:rPr>
                <w:rStyle w:val="Hipervnculo"/>
                <w:rFonts w:cs="Arial"/>
                <w:noProof/>
              </w:rPr>
              <w:t>1.</w:t>
            </w:r>
            <w:r w:rsidR="006061ED">
              <w:rPr>
                <w:rFonts w:asciiTheme="minorHAnsi" w:hAnsiTheme="minorHAnsi"/>
                <w:noProof/>
                <w:lang w:val="es-ES" w:eastAsia="es-ES"/>
              </w:rPr>
              <w:t xml:space="preserve"> </w:t>
            </w:r>
            <w:r w:rsidRPr="006D4CEE">
              <w:rPr>
                <w:rStyle w:val="Hipervnculo"/>
                <w:rFonts w:cs="Arial"/>
                <w:noProof/>
              </w:rPr>
              <w:t>SISTEMAS DE PATENTES Y SU LEGISLACIÓN</w:t>
            </w:r>
            <w:r>
              <w:rPr>
                <w:noProof/>
                <w:webHidden/>
              </w:rPr>
              <w:tab/>
            </w:r>
            <w:r>
              <w:rPr>
                <w:noProof/>
                <w:webHidden/>
              </w:rPr>
              <w:fldChar w:fldCharType="begin"/>
            </w:r>
            <w:r>
              <w:rPr>
                <w:noProof/>
                <w:webHidden/>
              </w:rPr>
              <w:instrText xml:space="preserve"> PAGEREF _Toc400525376 \h </w:instrText>
            </w:r>
            <w:r>
              <w:rPr>
                <w:noProof/>
                <w:webHidden/>
              </w:rPr>
            </w:r>
            <w:r>
              <w:rPr>
                <w:noProof/>
                <w:webHidden/>
              </w:rPr>
              <w:fldChar w:fldCharType="separate"/>
            </w:r>
            <w:r w:rsidR="0099684C">
              <w:rPr>
                <w:noProof/>
                <w:webHidden/>
              </w:rPr>
              <w:t>3</w:t>
            </w:r>
            <w:r>
              <w:rPr>
                <w:noProof/>
                <w:webHidden/>
              </w:rPr>
              <w:fldChar w:fldCharType="end"/>
            </w:r>
          </w:hyperlink>
        </w:p>
        <w:p w14:paraId="2255B632" w14:textId="77777777" w:rsidR="006061ED" w:rsidRDefault="006061ED" w:rsidP="006061ED">
          <w:pPr>
            <w:pStyle w:val="TDC2"/>
            <w:tabs>
              <w:tab w:val="clear" w:pos="5040"/>
              <w:tab w:val="right" w:leader="dot" w:pos="7938"/>
            </w:tabs>
            <w:rPr>
              <w:rStyle w:val="Hipervnculo"/>
              <w:noProof/>
            </w:rPr>
          </w:pPr>
        </w:p>
        <w:p w14:paraId="56FCD13D"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77" w:history="1">
            <w:r w:rsidRPr="006D4CEE">
              <w:rPr>
                <w:rStyle w:val="Hipervnculo"/>
                <w:noProof/>
                <w:lang w:val="es-ES"/>
              </w:rPr>
              <w:t>1.1. ¿Qué es una patente?</w:t>
            </w:r>
            <w:r>
              <w:rPr>
                <w:noProof/>
                <w:webHidden/>
              </w:rPr>
              <w:tab/>
            </w:r>
            <w:r>
              <w:rPr>
                <w:noProof/>
                <w:webHidden/>
              </w:rPr>
              <w:fldChar w:fldCharType="begin"/>
            </w:r>
            <w:r>
              <w:rPr>
                <w:noProof/>
                <w:webHidden/>
              </w:rPr>
              <w:instrText xml:space="preserve"> PAGEREF _Toc400525377 \h </w:instrText>
            </w:r>
            <w:r>
              <w:rPr>
                <w:noProof/>
                <w:webHidden/>
              </w:rPr>
            </w:r>
            <w:r>
              <w:rPr>
                <w:noProof/>
                <w:webHidden/>
              </w:rPr>
              <w:fldChar w:fldCharType="separate"/>
            </w:r>
            <w:r w:rsidR="0099684C">
              <w:rPr>
                <w:noProof/>
                <w:webHidden/>
              </w:rPr>
              <w:t>3</w:t>
            </w:r>
            <w:r>
              <w:rPr>
                <w:noProof/>
                <w:webHidden/>
              </w:rPr>
              <w:fldChar w:fldCharType="end"/>
            </w:r>
          </w:hyperlink>
        </w:p>
        <w:p w14:paraId="3BF3E6A7"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78" w:history="1">
            <w:r w:rsidRPr="006D4CEE">
              <w:rPr>
                <w:rStyle w:val="Hipervnculo"/>
                <w:noProof/>
                <w:lang w:val="es-ES_tradnl"/>
              </w:rPr>
              <w:t>1.2. Patentes en España</w:t>
            </w:r>
            <w:r>
              <w:rPr>
                <w:noProof/>
                <w:webHidden/>
              </w:rPr>
              <w:tab/>
            </w:r>
            <w:r>
              <w:rPr>
                <w:noProof/>
                <w:webHidden/>
              </w:rPr>
              <w:fldChar w:fldCharType="begin"/>
            </w:r>
            <w:r>
              <w:rPr>
                <w:noProof/>
                <w:webHidden/>
              </w:rPr>
              <w:instrText xml:space="preserve"> PAGEREF _Toc400525378 \h </w:instrText>
            </w:r>
            <w:r>
              <w:rPr>
                <w:noProof/>
                <w:webHidden/>
              </w:rPr>
            </w:r>
            <w:r>
              <w:rPr>
                <w:noProof/>
                <w:webHidden/>
              </w:rPr>
              <w:fldChar w:fldCharType="separate"/>
            </w:r>
            <w:r w:rsidR="0099684C">
              <w:rPr>
                <w:noProof/>
                <w:webHidden/>
              </w:rPr>
              <w:t>3</w:t>
            </w:r>
            <w:r>
              <w:rPr>
                <w:noProof/>
                <w:webHidden/>
              </w:rPr>
              <w:fldChar w:fldCharType="end"/>
            </w:r>
          </w:hyperlink>
        </w:p>
        <w:p w14:paraId="16E4782D"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79" w:history="1">
            <w:r w:rsidRPr="006D4CEE">
              <w:rPr>
                <w:rStyle w:val="Hipervnculo"/>
                <w:noProof/>
                <w:lang w:val="es-ES"/>
              </w:rPr>
              <w:t>1.3 Unión Europea</w:t>
            </w:r>
            <w:r>
              <w:rPr>
                <w:noProof/>
                <w:webHidden/>
              </w:rPr>
              <w:tab/>
            </w:r>
            <w:r>
              <w:rPr>
                <w:noProof/>
                <w:webHidden/>
              </w:rPr>
              <w:fldChar w:fldCharType="begin"/>
            </w:r>
            <w:r>
              <w:rPr>
                <w:noProof/>
                <w:webHidden/>
              </w:rPr>
              <w:instrText xml:space="preserve"> PAGEREF _Toc400525379 \h </w:instrText>
            </w:r>
            <w:r>
              <w:rPr>
                <w:noProof/>
                <w:webHidden/>
              </w:rPr>
            </w:r>
            <w:r>
              <w:rPr>
                <w:noProof/>
                <w:webHidden/>
              </w:rPr>
              <w:fldChar w:fldCharType="separate"/>
            </w:r>
            <w:r w:rsidR="0099684C">
              <w:rPr>
                <w:noProof/>
                <w:webHidden/>
              </w:rPr>
              <w:t>5</w:t>
            </w:r>
            <w:r>
              <w:rPr>
                <w:noProof/>
                <w:webHidden/>
              </w:rPr>
              <w:fldChar w:fldCharType="end"/>
            </w:r>
          </w:hyperlink>
        </w:p>
        <w:p w14:paraId="55E31237" w14:textId="4BF44C09" w:rsidR="00A5627F" w:rsidRDefault="00A5627F" w:rsidP="006061ED">
          <w:pPr>
            <w:pStyle w:val="TDC3"/>
            <w:tabs>
              <w:tab w:val="clear" w:pos="5040"/>
              <w:tab w:val="right" w:leader="dot" w:pos="7938"/>
            </w:tabs>
            <w:ind w:left="1134"/>
            <w:rPr>
              <w:rFonts w:asciiTheme="minorHAnsi" w:hAnsiTheme="minorHAnsi"/>
              <w:i w:val="0"/>
              <w:noProof/>
              <w:lang w:val="es-ES" w:eastAsia="es-ES"/>
            </w:rPr>
          </w:pPr>
          <w:hyperlink w:anchor="_Toc400525380" w:history="1">
            <w:r w:rsidRPr="006D4CEE">
              <w:rPr>
                <w:rStyle w:val="Hipervnculo"/>
                <w:noProof/>
                <w:lang w:val="es-ES"/>
              </w:rPr>
              <w:t>1.3.1. La Patente “clásica</w:t>
            </w:r>
            <w:r w:rsidR="006061ED">
              <w:rPr>
                <w:rStyle w:val="Hipervnculo"/>
                <w:noProof/>
                <w:lang w:val="es-ES"/>
              </w:rPr>
              <w:t>” e</w:t>
            </w:r>
            <w:r w:rsidRPr="006D4CEE">
              <w:rPr>
                <w:rStyle w:val="Hipervnculo"/>
                <w:noProof/>
                <w:lang w:val="es-ES"/>
              </w:rPr>
              <w:t>uropea</w:t>
            </w:r>
            <w:r>
              <w:rPr>
                <w:noProof/>
                <w:webHidden/>
              </w:rPr>
              <w:tab/>
            </w:r>
            <w:r>
              <w:rPr>
                <w:noProof/>
                <w:webHidden/>
              </w:rPr>
              <w:fldChar w:fldCharType="begin"/>
            </w:r>
            <w:r>
              <w:rPr>
                <w:noProof/>
                <w:webHidden/>
              </w:rPr>
              <w:instrText xml:space="preserve"> PAGEREF _Toc400525380 \h </w:instrText>
            </w:r>
            <w:r>
              <w:rPr>
                <w:noProof/>
                <w:webHidden/>
              </w:rPr>
            </w:r>
            <w:r>
              <w:rPr>
                <w:noProof/>
                <w:webHidden/>
              </w:rPr>
              <w:fldChar w:fldCharType="separate"/>
            </w:r>
            <w:r w:rsidR="0099684C">
              <w:rPr>
                <w:noProof/>
                <w:webHidden/>
              </w:rPr>
              <w:t>5</w:t>
            </w:r>
            <w:r>
              <w:rPr>
                <w:noProof/>
                <w:webHidden/>
              </w:rPr>
              <w:fldChar w:fldCharType="end"/>
            </w:r>
          </w:hyperlink>
        </w:p>
        <w:p w14:paraId="033EA6D8" w14:textId="583B0560" w:rsidR="00A5627F" w:rsidRDefault="00A5627F" w:rsidP="006061ED">
          <w:pPr>
            <w:pStyle w:val="TDC3"/>
            <w:tabs>
              <w:tab w:val="clear" w:pos="5040"/>
              <w:tab w:val="right" w:leader="dot" w:pos="7938"/>
            </w:tabs>
            <w:ind w:left="1134"/>
            <w:rPr>
              <w:rFonts w:asciiTheme="minorHAnsi" w:hAnsiTheme="minorHAnsi"/>
              <w:i w:val="0"/>
              <w:noProof/>
              <w:lang w:val="es-ES" w:eastAsia="es-ES"/>
            </w:rPr>
          </w:pPr>
          <w:hyperlink w:anchor="_Toc400525381" w:history="1">
            <w:r w:rsidR="006061ED">
              <w:rPr>
                <w:rStyle w:val="Hipervnculo"/>
                <w:noProof/>
                <w:lang w:val="es-ES"/>
              </w:rPr>
              <w:t>1.3.2. La patente unitaria e</w:t>
            </w:r>
            <w:r w:rsidRPr="006D4CEE">
              <w:rPr>
                <w:rStyle w:val="Hipervnculo"/>
                <w:noProof/>
                <w:lang w:val="es-ES"/>
              </w:rPr>
              <w:t>uropea.</w:t>
            </w:r>
            <w:r>
              <w:rPr>
                <w:noProof/>
                <w:webHidden/>
              </w:rPr>
              <w:tab/>
            </w:r>
            <w:r>
              <w:rPr>
                <w:noProof/>
                <w:webHidden/>
              </w:rPr>
              <w:fldChar w:fldCharType="begin"/>
            </w:r>
            <w:r>
              <w:rPr>
                <w:noProof/>
                <w:webHidden/>
              </w:rPr>
              <w:instrText xml:space="preserve"> PAGEREF _Toc400525381 \h </w:instrText>
            </w:r>
            <w:r>
              <w:rPr>
                <w:noProof/>
                <w:webHidden/>
              </w:rPr>
            </w:r>
            <w:r>
              <w:rPr>
                <w:noProof/>
                <w:webHidden/>
              </w:rPr>
              <w:fldChar w:fldCharType="separate"/>
            </w:r>
            <w:r w:rsidR="0099684C">
              <w:rPr>
                <w:noProof/>
                <w:webHidden/>
              </w:rPr>
              <w:t>6</w:t>
            </w:r>
            <w:r>
              <w:rPr>
                <w:noProof/>
                <w:webHidden/>
              </w:rPr>
              <w:fldChar w:fldCharType="end"/>
            </w:r>
          </w:hyperlink>
        </w:p>
        <w:p w14:paraId="4D3B6272" w14:textId="77777777" w:rsidR="006061ED" w:rsidRDefault="006061ED" w:rsidP="006061ED">
          <w:pPr>
            <w:pStyle w:val="TDC1"/>
            <w:tabs>
              <w:tab w:val="clear" w:pos="5040"/>
              <w:tab w:val="left" w:pos="1100"/>
              <w:tab w:val="right" w:leader="dot" w:pos="7938"/>
            </w:tabs>
            <w:rPr>
              <w:rStyle w:val="Hipervnculo"/>
              <w:noProof/>
            </w:rPr>
          </w:pPr>
        </w:p>
        <w:p w14:paraId="15935E4D" w14:textId="1A309DF7" w:rsidR="00A5627F" w:rsidRDefault="00A5627F" w:rsidP="006061ED">
          <w:pPr>
            <w:pStyle w:val="TDC1"/>
            <w:tabs>
              <w:tab w:val="clear" w:pos="5040"/>
              <w:tab w:val="left" w:pos="1100"/>
              <w:tab w:val="right" w:leader="dot" w:pos="7938"/>
            </w:tabs>
            <w:rPr>
              <w:rFonts w:asciiTheme="minorHAnsi" w:hAnsiTheme="minorHAnsi"/>
              <w:noProof/>
              <w:lang w:val="es-ES" w:eastAsia="es-ES"/>
            </w:rPr>
          </w:pPr>
          <w:hyperlink w:anchor="_Toc400525382" w:history="1">
            <w:r w:rsidRPr="006D4CEE">
              <w:rPr>
                <w:rStyle w:val="Hipervnculo"/>
                <w:rFonts w:cs="Arial"/>
                <w:noProof/>
              </w:rPr>
              <w:t>2.</w:t>
            </w:r>
            <w:r w:rsidR="006061ED">
              <w:rPr>
                <w:rFonts w:asciiTheme="minorHAnsi" w:hAnsiTheme="minorHAnsi"/>
                <w:noProof/>
                <w:lang w:val="es-ES" w:eastAsia="es-ES"/>
              </w:rPr>
              <w:t xml:space="preserve"> </w:t>
            </w:r>
            <w:r w:rsidRPr="006D4CEE">
              <w:rPr>
                <w:rStyle w:val="Hipervnculo"/>
                <w:rFonts w:cs="Arial"/>
                <w:noProof/>
              </w:rPr>
              <w:t>PATENTES FARMACÉUTICAS</w:t>
            </w:r>
            <w:r>
              <w:rPr>
                <w:noProof/>
                <w:webHidden/>
              </w:rPr>
              <w:tab/>
            </w:r>
            <w:r>
              <w:rPr>
                <w:noProof/>
                <w:webHidden/>
              </w:rPr>
              <w:fldChar w:fldCharType="begin"/>
            </w:r>
            <w:r>
              <w:rPr>
                <w:noProof/>
                <w:webHidden/>
              </w:rPr>
              <w:instrText xml:space="preserve"> PAGEREF _Toc400525382 \h </w:instrText>
            </w:r>
            <w:r>
              <w:rPr>
                <w:noProof/>
                <w:webHidden/>
              </w:rPr>
            </w:r>
            <w:r>
              <w:rPr>
                <w:noProof/>
                <w:webHidden/>
              </w:rPr>
              <w:fldChar w:fldCharType="separate"/>
            </w:r>
            <w:r w:rsidR="0099684C">
              <w:rPr>
                <w:noProof/>
                <w:webHidden/>
              </w:rPr>
              <w:t>11</w:t>
            </w:r>
            <w:r>
              <w:rPr>
                <w:noProof/>
                <w:webHidden/>
              </w:rPr>
              <w:fldChar w:fldCharType="end"/>
            </w:r>
          </w:hyperlink>
        </w:p>
        <w:p w14:paraId="7A3C97C9" w14:textId="77777777" w:rsidR="006061ED" w:rsidRDefault="006061ED" w:rsidP="006061ED">
          <w:pPr>
            <w:pStyle w:val="TDC2"/>
            <w:tabs>
              <w:tab w:val="clear" w:pos="5040"/>
              <w:tab w:val="right" w:leader="dot" w:pos="7938"/>
            </w:tabs>
            <w:rPr>
              <w:rStyle w:val="Hipervnculo"/>
              <w:noProof/>
            </w:rPr>
          </w:pPr>
        </w:p>
        <w:p w14:paraId="51955B6F"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83" w:history="1">
            <w:r w:rsidRPr="006D4CEE">
              <w:rPr>
                <w:rStyle w:val="Hipervnculo"/>
                <w:noProof/>
                <w:lang w:val="es-ES"/>
              </w:rPr>
              <w:t>2.1. ¿Qué son las patentes farmacéuticas?</w:t>
            </w:r>
            <w:r>
              <w:rPr>
                <w:noProof/>
                <w:webHidden/>
              </w:rPr>
              <w:tab/>
            </w:r>
            <w:r>
              <w:rPr>
                <w:noProof/>
                <w:webHidden/>
              </w:rPr>
              <w:fldChar w:fldCharType="begin"/>
            </w:r>
            <w:r>
              <w:rPr>
                <w:noProof/>
                <w:webHidden/>
              </w:rPr>
              <w:instrText xml:space="preserve"> PAGEREF _Toc400525383 \h </w:instrText>
            </w:r>
            <w:r>
              <w:rPr>
                <w:noProof/>
                <w:webHidden/>
              </w:rPr>
            </w:r>
            <w:r>
              <w:rPr>
                <w:noProof/>
                <w:webHidden/>
              </w:rPr>
              <w:fldChar w:fldCharType="separate"/>
            </w:r>
            <w:r w:rsidR="0099684C">
              <w:rPr>
                <w:noProof/>
                <w:webHidden/>
              </w:rPr>
              <w:t>11</w:t>
            </w:r>
            <w:r>
              <w:rPr>
                <w:noProof/>
                <w:webHidden/>
              </w:rPr>
              <w:fldChar w:fldCharType="end"/>
            </w:r>
          </w:hyperlink>
        </w:p>
        <w:p w14:paraId="2697423F" w14:textId="77777777" w:rsidR="006061ED" w:rsidRDefault="006061ED" w:rsidP="006061ED">
          <w:pPr>
            <w:pStyle w:val="TDC2"/>
            <w:tabs>
              <w:tab w:val="clear" w:pos="5040"/>
              <w:tab w:val="right" w:leader="dot" w:pos="7938"/>
            </w:tabs>
            <w:ind w:left="709"/>
            <w:rPr>
              <w:rStyle w:val="Hipervnculo"/>
              <w:noProof/>
            </w:rPr>
          </w:pPr>
        </w:p>
        <w:p w14:paraId="69E1894A"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84" w:history="1">
            <w:r w:rsidRPr="006D4CEE">
              <w:rPr>
                <w:rStyle w:val="Hipervnculo"/>
                <w:noProof/>
                <w:lang w:val="es-ES"/>
              </w:rPr>
              <w:t>2.2. Requisitos específicos de las patentes farmacéuticas.</w:t>
            </w:r>
            <w:r>
              <w:rPr>
                <w:noProof/>
                <w:webHidden/>
              </w:rPr>
              <w:tab/>
            </w:r>
            <w:r>
              <w:rPr>
                <w:noProof/>
                <w:webHidden/>
              </w:rPr>
              <w:fldChar w:fldCharType="begin"/>
            </w:r>
            <w:r>
              <w:rPr>
                <w:noProof/>
                <w:webHidden/>
              </w:rPr>
              <w:instrText xml:space="preserve"> PAGEREF _Toc400525384 \h </w:instrText>
            </w:r>
            <w:r>
              <w:rPr>
                <w:noProof/>
                <w:webHidden/>
              </w:rPr>
            </w:r>
            <w:r>
              <w:rPr>
                <w:noProof/>
                <w:webHidden/>
              </w:rPr>
              <w:fldChar w:fldCharType="separate"/>
            </w:r>
            <w:r w:rsidR="0099684C">
              <w:rPr>
                <w:noProof/>
                <w:webHidden/>
              </w:rPr>
              <w:t>13</w:t>
            </w:r>
            <w:r>
              <w:rPr>
                <w:noProof/>
                <w:webHidden/>
              </w:rPr>
              <w:fldChar w:fldCharType="end"/>
            </w:r>
          </w:hyperlink>
        </w:p>
        <w:p w14:paraId="0C5CBF2B" w14:textId="77777777" w:rsidR="00A5627F" w:rsidRDefault="00A5627F" w:rsidP="006061ED">
          <w:pPr>
            <w:pStyle w:val="TDC3"/>
            <w:tabs>
              <w:tab w:val="clear" w:pos="5040"/>
              <w:tab w:val="right" w:leader="dot" w:pos="7938"/>
            </w:tabs>
            <w:ind w:left="1134"/>
            <w:rPr>
              <w:rFonts w:asciiTheme="minorHAnsi" w:hAnsiTheme="minorHAnsi"/>
              <w:i w:val="0"/>
              <w:noProof/>
              <w:lang w:val="es-ES" w:eastAsia="es-ES"/>
            </w:rPr>
          </w:pPr>
          <w:hyperlink w:anchor="_Toc400525385" w:history="1">
            <w:r w:rsidRPr="006D4CEE">
              <w:rPr>
                <w:rStyle w:val="Hipervnculo"/>
                <w:noProof/>
                <w:lang w:val="es-ES"/>
              </w:rPr>
              <w:t>2.2.1. Aplicabilidad industrial.</w:t>
            </w:r>
            <w:r>
              <w:rPr>
                <w:noProof/>
                <w:webHidden/>
              </w:rPr>
              <w:tab/>
            </w:r>
            <w:r>
              <w:rPr>
                <w:noProof/>
                <w:webHidden/>
              </w:rPr>
              <w:fldChar w:fldCharType="begin"/>
            </w:r>
            <w:r>
              <w:rPr>
                <w:noProof/>
                <w:webHidden/>
              </w:rPr>
              <w:instrText xml:space="preserve"> PAGEREF _Toc400525385 \h </w:instrText>
            </w:r>
            <w:r>
              <w:rPr>
                <w:noProof/>
                <w:webHidden/>
              </w:rPr>
            </w:r>
            <w:r>
              <w:rPr>
                <w:noProof/>
                <w:webHidden/>
              </w:rPr>
              <w:fldChar w:fldCharType="separate"/>
            </w:r>
            <w:r w:rsidR="0099684C">
              <w:rPr>
                <w:noProof/>
                <w:webHidden/>
              </w:rPr>
              <w:t>13</w:t>
            </w:r>
            <w:r>
              <w:rPr>
                <w:noProof/>
                <w:webHidden/>
              </w:rPr>
              <w:fldChar w:fldCharType="end"/>
            </w:r>
          </w:hyperlink>
        </w:p>
        <w:p w14:paraId="5D1E7B95" w14:textId="77777777" w:rsidR="00A5627F" w:rsidRDefault="00A5627F" w:rsidP="006061ED">
          <w:pPr>
            <w:pStyle w:val="TDC3"/>
            <w:tabs>
              <w:tab w:val="clear" w:pos="5040"/>
              <w:tab w:val="right" w:leader="dot" w:pos="7938"/>
            </w:tabs>
            <w:ind w:left="1134"/>
            <w:rPr>
              <w:rFonts w:asciiTheme="minorHAnsi" w:hAnsiTheme="minorHAnsi"/>
              <w:i w:val="0"/>
              <w:noProof/>
              <w:lang w:val="es-ES" w:eastAsia="es-ES"/>
            </w:rPr>
          </w:pPr>
          <w:hyperlink w:anchor="_Toc400525386" w:history="1">
            <w:r w:rsidRPr="006D4CEE">
              <w:rPr>
                <w:rStyle w:val="Hipervnculo"/>
                <w:noProof/>
                <w:lang w:val="es-ES"/>
              </w:rPr>
              <w:t>2.2.2. Descripción suficiente.</w:t>
            </w:r>
            <w:r>
              <w:rPr>
                <w:noProof/>
                <w:webHidden/>
              </w:rPr>
              <w:tab/>
            </w:r>
            <w:r>
              <w:rPr>
                <w:noProof/>
                <w:webHidden/>
              </w:rPr>
              <w:fldChar w:fldCharType="begin"/>
            </w:r>
            <w:r>
              <w:rPr>
                <w:noProof/>
                <w:webHidden/>
              </w:rPr>
              <w:instrText xml:space="preserve"> PAGEREF _Toc400525386 \h </w:instrText>
            </w:r>
            <w:r>
              <w:rPr>
                <w:noProof/>
                <w:webHidden/>
              </w:rPr>
            </w:r>
            <w:r>
              <w:rPr>
                <w:noProof/>
                <w:webHidden/>
              </w:rPr>
              <w:fldChar w:fldCharType="separate"/>
            </w:r>
            <w:r w:rsidR="0099684C">
              <w:rPr>
                <w:noProof/>
                <w:webHidden/>
              </w:rPr>
              <w:t>14</w:t>
            </w:r>
            <w:r>
              <w:rPr>
                <w:noProof/>
                <w:webHidden/>
              </w:rPr>
              <w:fldChar w:fldCharType="end"/>
            </w:r>
          </w:hyperlink>
        </w:p>
        <w:p w14:paraId="7577EE59" w14:textId="77777777" w:rsidR="00A5627F" w:rsidRDefault="00A5627F" w:rsidP="006061ED">
          <w:pPr>
            <w:pStyle w:val="TDC3"/>
            <w:tabs>
              <w:tab w:val="clear" w:pos="5040"/>
              <w:tab w:val="right" w:leader="dot" w:pos="7938"/>
            </w:tabs>
            <w:ind w:left="1134"/>
            <w:rPr>
              <w:rFonts w:asciiTheme="minorHAnsi" w:hAnsiTheme="minorHAnsi"/>
              <w:i w:val="0"/>
              <w:noProof/>
              <w:lang w:val="es-ES" w:eastAsia="es-ES"/>
            </w:rPr>
          </w:pPr>
          <w:hyperlink w:anchor="_Toc400525387" w:history="1">
            <w:r w:rsidRPr="006D4CEE">
              <w:rPr>
                <w:rStyle w:val="Hipervnculo"/>
                <w:noProof/>
                <w:lang w:val="es-ES"/>
              </w:rPr>
              <w:t>2.2.3. Novedad.</w:t>
            </w:r>
            <w:r>
              <w:rPr>
                <w:noProof/>
                <w:webHidden/>
              </w:rPr>
              <w:tab/>
            </w:r>
            <w:r>
              <w:rPr>
                <w:noProof/>
                <w:webHidden/>
              </w:rPr>
              <w:fldChar w:fldCharType="begin"/>
            </w:r>
            <w:r>
              <w:rPr>
                <w:noProof/>
                <w:webHidden/>
              </w:rPr>
              <w:instrText xml:space="preserve"> PAGEREF _Toc400525387 \h </w:instrText>
            </w:r>
            <w:r>
              <w:rPr>
                <w:noProof/>
                <w:webHidden/>
              </w:rPr>
            </w:r>
            <w:r>
              <w:rPr>
                <w:noProof/>
                <w:webHidden/>
              </w:rPr>
              <w:fldChar w:fldCharType="separate"/>
            </w:r>
            <w:r w:rsidR="0099684C">
              <w:rPr>
                <w:noProof/>
                <w:webHidden/>
              </w:rPr>
              <w:t>15</w:t>
            </w:r>
            <w:r>
              <w:rPr>
                <w:noProof/>
                <w:webHidden/>
              </w:rPr>
              <w:fldChar w:fldCharType="end"/>
            </w:r>
          </w:hyperlink>
        </w:p>
        <w:p w14:paraId="14FFC9C4"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88" w:history="1">
            <w:r w:rsidRPr="006D4CEE">
              <w:rPr>
                <w:rStyle w:val="Hipervnculo"/>
                <w:noProof/>
                <w:lang w:val="es-ES"/>
              </w:rPr>
              <w:t>2.3. Certificado complementario de protección.</w:t>
            </w:r>
            <w:r>
              <w:rPr>
                <w:noProof/>
                <w:webHidden/>
              </w:rPr>
              <w:tab/>
            </w:r>
            <w:r>
              <w:rPr>
                <w:noProof/>
                <w:webHidden/>
              </w:rPr>
              <w:fldChar w:fldCharType="begin"/>
            </w:r>
            <w:r>
              <w:rPr>
                <w:noProof/>
                <w:webHidden/>
              </w:rPr>
              <w:instrText xml:space="preserve"> PAGEREF _Toc400525388 \h </w:instrText>
            </w:r>
            <w:r>
              <w:rPr>
                <w:noProof/>
                <w:webHidden/>
              </w:rPr>
            </w:r>
            <w:r>
              <w:rPr>
                <w:noProof/>
                <w:webHidden/>
              </w:rPr>
              <w:fldChar w:fldCharType="separate"/>
            </w:r>
            <w:r w:rsidR="0099684C">
              <w:rPr>
                <w:noProof/>
                <w:webHidden/>
              </w:rPr>
              <w:t>16</w:t>
            </w:r>
            <w:r>
              <w:rPr>
                <w:noProof/>
                <w:webHidden/>
              </w:rPr>
              <w:fldChar w:fldCharType="end"/>
            </w:r>
          </w:hyperlink>
        </w:p>
        <w:p w14:paraId="0197FB33" w14:textId="77777777" w:rsidR="006061ED" w:rsidRDefault="006061ED" w:rsidP="006061ED">
          <w:pPr>
            <w:pStyle w:val="TDC1"/>
            <w:tabs>
              <w:tab w:val="clear" w:pos="5040"/>
              <w:tab w:val="left" w:pos="1100"/>
              <w:tab w:val="right" w:leader="dot" w:pos="7938"/>
            </w:tabs>
            <w:rPr>
              <w:rStyle w:val="Hipervnculo"/>
              <w:noProof/>
            </w:rPr>
          </w:pPr>
        </w:p>
        <w:p w14:paraId="33EC1A61" w14:textId="17C151DD" w:rsidR="00A5627F" w:rsidRDefault="00A5627F" w:rsidP="006061ED">
          <w:pPr>
            <w:pStyle w:val="TDC1"/>
            <w:tabs>
              <w:tab w:val="clear" w:pos="5040"/>
              <w:tab w:val="left" w:pos="1100"/>
              <w:tab w:val="right" w:leader="dot" w:pos="7938"/>
            </w:tabs>
            <w:rPr>
              <w:rFonts w:asciiTheme="minorHAnsi" w:hAnsiTheme="minorHAnsi"/>
              <w:noProof/>
              <w:lang w:val="es-ES" w:eastAsia="es-ES"/>
            </w:rPr>
          </w:pPr>
          <w:hyperlink w:anchor="_Toc400525389" w:history="1">
            <w:r w:rsidRPr="006D4CEE">
              <w:rPr>
                <w:rStyle w:val="Hipervnculo"/>
                <w:rFonts w:cs="Arial"/>
                <w:noProof/>
              </w:rPr>
              <w:t>3.</w:t>
            </w:r>
            <w:r w:rsidR="006061ED">
              <w:rPr>
                <w:rFonts w:asciiTheme="minorHAnsi" w:hAnsiTheme="minorHAnsi"/>
                <w:noProof/>
                <w:lang w:val="es-ES" w:eastAsia="es-ES"/>
              </w:rPr>
              <w:t xml:space="preserve"> </w:t>
            </w:r>
            <w:r w:rsidRPr="006D4CEE">
              <w:rPr>
                <w:rStyle w:val="Hipervnculo"/>
                <w:rFonts w:cs="Arial"/>
                <w:noProof/>
              </w:rPr>
              <w:t>MEDICAMENTOS GENÉRICOS Y BIOSIMILARES</w:t>
            </w:r>
            <w:r>
              <w:rPr>
                <w:noProof/>
                <w:webHidden/>
              </w:rPr>
              <w:tab/>
            </w:r>
            <w:r>
              <w:rPr>
                <w:noProof/>
                <w:webHidden/>
              </w:rPr>
              <w:fldChar w:fldCharType="begin"/>
            </w:r>
            <w:r>
              <w:rPr>
                <w:noProof/>
                <w:webHidden/>
              </w:rPr>
              <w:instrText xml:space="preserve"> PAGEREF _Toc400525389 \h </w:instrText>
            </w:r>
            <w:r>
              <w:rPr>
                <w:noProof/>
                <w:webHidden/>
              </w:rPr>
            </w:r>
            <w:r>
              <w:rPr>
                <w:noProof/>
                <w:webHidden/>
              </w:rPr>
              <w:fldChar w:fldCharType="separate"/>
            </w:r>
            <w:r w:rsidR="0099684C">
              <w:rPr>
                <w:noProof/>
                <w:webHidden/>
              </w:rPr>
              <w:t>17</w:t>
            </w:r>
            <w:r>
              <w:rPr>
                <w:noProof/>
                <w:webHidden/>
              </w:rPr>
              <w:fldChar w:fldCharType="end"/>
            </w:r>
          </w:hyperlink>
        </w:p>
        <w:p w14:paraId="2D7CC4D1" w14:textId="77777777" w:rsidR="006061ED" w:rsidRDefault="006061ED" w:rsidP="006061ED">
          <w:pPr>
            <w:pStyle w:val="TDC2"/>
            <w:tabs>
              <w:tab w:val="clear" w:pos="5040"/>
              <w:tab w:val="right" w:leader="dot" w:pos="7938"/>
            </w:tabs>
            <w:rPr>
              <w:rStyle w:val="Hipervnculo"/>
              <w:noProof/>
            </w:rPr>
          </w:pPr>
        </w:p>
        <w:p w14:paraId="03BCBB3B"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90" w:history="1">
            <w:r w:rsidRPr="006D4CEE">
              <w:rPr>
                <w:rStyle w:val="Hipervnculo"/>
                <w:noProof/>
                <w:lang w:val="es-ES"/>
              </w:rPr>
              <w:t>3.1. Medicamentos de origen químico.</w:t>
            </w:r>
            <w:r>
              <w:rPr>
                <w:noProof/>
                <w:webHidden/>
              </w:rPr>
              <w:tab/>
            </w:r>
            <w:r>
              <w:rPr>
                <w:noProof/>
                <w:webHidden/>
              </w:rPr>
              <w:fldChar w:fldCharType="begin"/>
            </w:r>
            <w:r>
              <w:rPr>
                <w:noProof/>
                <w:webHidden/>
              </w:rPr>
              <w:instrText xml:space="preserve"> PAGEREF _Toc400525390 \h </w:instrText>
            </w:r>
            <w:r>
              <w:rPr>
                <w:noProof/>
                <w:webHidden/>
              </w:rPr>
            </w:r>
            <w:r>
              <w:rPr>
                <w:noProof/>
                <w:webHidden/>
              </w:rPr>
              <w:fldChar w:fldCharType="separate"/>
            </w:r>
            <w:r w:rsidR="0099684C">
              <w:rPr>
                <w:noProof/>
                <w:webHidden/>
              </w:rPr>
              <w:t>17</w:t>
            </w:r>
            <w:r>
              <w:rPr>
                <w:noProof/>
                <w:webHidden/>
              </w:rPr>
              <w:fldChar w:fldCharType="end"/>
            </w:r>
          </w:hyperlink>
        </w:p>
        <w:p w14:paraId="7A677E8D"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91" w:history="1">
            <w:r w:rsidRPr="006D4CEE">
              <w:rPr>
                <w:rStyle w:val="Hipervnculo"/>
                <w:noProof/>
                <w:lang w:val="es-ES"/>
              </w:rPr>
              <w:t>3.2. Medicamentos de origen biológico.</w:t>
            </w:r>
            <w:r>
              <w:rPr>
                <w:noProof/>
                <w:webHidden/>
              </w:rPr>
              <w:tab/>
            </w:r>
            <w:r>
              <w:rPr>
                <w:noProof/>
                <w:webHidden/>
              </w:rPr>
              <w:fldChar w:fldCharType="begin"/>
            </w:r>
            <w:r>
              <w:rPr>
                <w:noProof/>
                <w:webHidden/>
              </w:rPr>
              <w:instrText xml:space="preserve"> PAGEREF _Toc400525391 \h </w:instrText>
            </w:r>
            <w:r>
              <w:rPr>
                <w:noProof/>
                <w:webHidden/>
              </w:rPr>
            </w:r>
            <w:r>
              <w:rPr>
                <w:noProof/>
                <w:webHidden/>
              </w:rPr>
              <w:fldChar w:fldCharType="separate"/>
            </w:r>
            <w:r w:rsidR="0099684C">
              <w:rPr>
                <w:noProof/>
                <w:webHidden/>
              </w:rPr>
              <w:t>18</w:t>
            </w:r>
            <w:r>
              <w:rPr>
                <w:noProof/>
                <w:webHidden/>
              </w:rPr>
              <w:fldChar w:fldCharType="end"/>
            </w:r>
          </w:hyperlink>
        </w:p>
        <w:p w14:paraId="6F6EE94C"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92" w:history="1">
            <w:r w:rsidRPr="006D4CEE">
              <w:rPr>
                <w:rStyle w:val="Hipervnculo"/>
                <w:noProof/>
                <w:lang w:val="es-ES"/>
              </w:rPr>
              <w:t>3.3. Medicamentos genéricos.</w:t>
            </w:r>
            <w:r>
              <w:rPr>
                <w:noProof/>
                <w:webHidden/>
              </w:rPr>
              <w:tab/>
            </w:r>
            <w:r>
              <w:rPr>
                <w:noProof/>
                <w:webHidden/>
              </w:rPr>
              <w:fldChar w:fldCharType="begin"/>
            </w:r>
            <w:r>
              <w:rPr>
                <w:noProof/>
                <w:webHidden/>
              </w:rPr>
              <w:instrText xml:space="preserve"> PAGEREF _Toc400525392 \h </w:instrText>
            </w:r>
            <w:r>
              <w:rPr>
                <w:noProof/>
                <w:webHidden/>
              </w:rPr>
            </w:r>
            <w:r>
              <w:rPr>
                <w:noProof/>
                <w:webHidden/>
              </w:rPr>
              <w:fldChar w:fldCharType="separate"/>
            </w:r>
            <w:r w:rsidR="0099684C">
              <w:rPr>
                <w:noProof/>
                <w:webHidden/>
              </w:rPr>
              <w:t>18</w:t>
            </w:r>
            <w:r>
              <w:rPr>
                <w:noProof/>
                <w:webHidden/>
              </w:rPr>
              <w:fldChar w:fldCharType="end"/>
            </w:r>
          </w:hyperlink>
        </w:p>
        <w:p w14:paraId="0CF8EF0A"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93" w:history="1">
            <w:r w:rsidRPr="006D4CEE">
              <w:rPr>
                <w:rStyle w:val="Hipervnculo"/>
                <w:noProof/>
                <w:lang w:val="es-ES"/>
              </w:rPr>
              <w:t>3.4. Medicamentos biosimilares.</w:t>
            </w:r>
            <w:r>
              <w:rPr>
                <w:noProof/>
                <w:webHidden/>
              </w:rPr>
              <w:tab/>
            </w:r>
            <w:r>
              <w:rPr>
                <w:noProof/>
                <w:webHidden/>
              </w:rPr>
              <w:fldChar w:fldCharType="begin"/>
            </w:r>
            <w:r>
              <w:rPr>
                <w:noProof/>
                <w:webHidden/>
              </w:rPr>
              <w:instrText xml:space="preserve"> PAGEREF _Toc400525393 \h </w:instrText>
            </w:r>
            <w:r>
              <w:rPr>
                <w:noProof/>
                <w:webHidden/>
              </w:rPr>
            </w:r>
            <w:r>
              <w:rPr>
                <w:noProof/>
                <w:webHidden/>
              </w:rPr>
              <w:fldChar w:fldCharType="separate"/>
            </w:r>
            <w:r w:rsidR="0099684C">
              <w:rPr>
                <w:noProof/>
                <w:webHidden/>
              </w:rPr>
              <w:t>21</w:t>
            </w:r>
            <w:r>
              <w:rPr>
                <w:noProof/>
                <w:webHidden/>
              </w:rPr>
              <w:fldChar w:fldCharType="end"/>
            </w:r>
          </w:hyperlink>
        </w:p>
        <w:p w14:paraId="3E8C8CB3" w14:textId="77777777" w:rsidR="006061ED" w:rsidRDefault="006061ED" w:rsidP="006061ED">
          <w:pPr>
            <w:pStyle w:val="TDC1"/>
            <w:tabs>
              <w:tab w:val="clear" w:pos="5040"/>
              <w:tab w:val="left" w:pos="1100"/>
              <w:tab w:val="right" w:leader="dot" w:pos="7938"/>
            </w:tabs>
            <w:rPr>
              <w:rStyle w:val="Hipervnculo"/>
              <w:noProof/>
            </w:rPr>
          </w:pPr>
        </w:p>
        <w:p w14:paraId="44F711CC" w14:textId="7C6D5807" w:rsidR="00A5627F" w:rsidRDefault="00A5627F" w:rsidP="006061ED">
          <w:pPr>
            <w:pStyle w:val="TDC1"/>
            <w:tabs>
              <w:tab w:val="clear" w:pos="5040"/>
              <w:tab w:val="left" w:pos="1100"/>
              <w:tab w:val="right" w:leader="dot" w:pos="7938"/>
            </w:tabs>
            <w:rPr>
              <w:rFonts w:asciiTheme="minorHAnsi" w:hAnsiTheme="minorHAnsi"/>
              <w:noProof/>
              <w:lang w:val="es-ES" w:eastAsia="es-ES"/>
            </w:rPr>
          </w:pPr>
          <w:hyperlink w:anchor="_Toc400525394" w:history="1">
            <w:r w:rsidRPr="006D4CEE">
              <w:rPr>
                <w:rStyle w:val="Hipervnculo"/>
                <w:rFonts w:cs="Arial"/>
                <w:noProof/>
              </w:rPr>
              <w:t>4.</w:t>
            </w:r>
            <w:r w:rsidR="006061ED">
              <w:rPr>
                <w:rFonts w:asciiTheme="minorHAnsi" w:hAnsiTheme="minorHAnsi"/>
                <w:noProof/>
                <w:lang w:val="es-ES" w:eastAsia="es-ES"/>
              </w:rPr>
              <w:t xml:space="preserve"> </w:t>
            </w:r>
            <w:r w:rsidRPr="006D4CEE">
              <w:rPr>
                <w:rStyle w:val="Hipervnculo"/>
                <w:rFonts w:cs="Arial"/>
                <w:noProof/>
              </w:rPr>
              <w:t>“PATENT CLIFF”</w:t>
            </w:r>
            <w:r>
              <w:rPr>
                <w:noProof/>
                <w:webHidden/>
              </w:rPr>
              <w:tab/>
            </w:r>
            <w:r>
              <w:rPr>
                <w:noProof/>
                <w:webHidden/>
              </w:rPr>
              <w:fldChar w:fldCharType="begin"/>
            </w:r>
            <w:r>
              <w:rPr>
                <w:noProof/>
                <w:webHidden/>
              </w:rPr>
              <w:instrText xml:space="preserve"> PAGEREF _Toc400525394 \h </w:instrText>
            </w:r>
            <w:r>
              <w:rPr>
                <w:noProof/>
                <w:webHidden/>
              </w:rPr>
            </w:r>
            <w:r>
              <w:rPr>
                <w:noProof/>
                <w:webHidden/>
              </w:rPr>
              <w:fldChar w:fldCharType="separate"/>
            </w:r>
            <w:r w:rsidR="0099684C">
              <w:rPr>
                <w:noProof/>
                <w:webHidden/>
              </w:rPr>
              <w:t>23</w:t>
            </w:r>
            <w:r>
              <w:rPr>
                <w:noProof/>
                <w:webHidden/>
              </w:rPr>
              <w:fldChar w:fldCharType="end"/>
            </w:r>
          </w:hyperlink>
        </w:p>
        <w:p w14:paraId="30FE7935" w14:textId="77777777" w:rsidR="006061ED" w:rsidRDefault="006061ED" w:rsidP="006061ED">
          <w:pPr>
            <w:pStyle w:val="TDC1"/>
            <w:tabs>
              <w:tab w:val="clear" w:pos="5040"/>
              <w:tab w:val="left" w:pos="1100"/>
              <w:tab w:val="right" w:leader="dot" w:pos="7938"/>
            </w:tabs>
            <w:rPr>
              <w:rStyle w:val="Hipervnculo"/>
              <w:noProof/>
            </w:rPr>
          </w:pPr>
        </w:p>
        <w:p w14:paraId="55729DAB" w14:textId="2957D7C5" w:rsidR="00A5627F" w:rsidRDefault="00A5627F" w:rsidP="006061ED">
          <w:pPr>
            <w:pStyle w:val="TDC1"/>
            <w:tabs>
              <w:tab w:val="clear" w:pos="5040"/>
              <w:tab w:val="left" w:pos="1100"/>
              <w:tab w:val="right" w:leader="dot" w:pos="7938"/>
            </w:tabs>
            <w:rPr>
              <w:rFonts w:asciiTheme="minorHAnsi" w:hAnsiTheme="minorHAnsi"/>
              <w:noProof/>
              <w:lang w:val="es-ES" w:eastAsia="es-ES"/>
            </w:rPr>
          </w:pPr>
          <w:hyperlink w:anchor="_Toc400525395" w:history="1">
            <w:r w:rsidRPr="006D4CEE">
              <w:rPr>
                <w:rStyle w:val="Hipervnculo"/>
                <w:rFonts w:cs="Arial"/>
                <w:noProof/>
              </w:rPr>
              <w:t>5.</w:t>
            </w:r>
            <w:r w:rsidR="006061ED">
              <w:rPr>
                <w:rFonts w:asciiTheme="minorHAnsi" w:hAnsiTheme="minorHAnsi"/>
                <w:noProof/>
                <w:lang w:val="es-ES" w:eastAsia="es-ES"/>
              </w:rPr>
              <w:t xml:space="preserve"> </w:t>
            </w:r>
            <w:r w:rsidRPr="006D4CEE">
              <w:rPr>
                <w:rStyle w:val="Hipervnculo"/>
                <w:rFonts w:cs="Arial"/>
                <w:noProof/>
              </w:rPr>
              <w:t>PRÁCTICAS DE EVERGREENING.</w:t>
            </w:r>
            <w:r>
              <w:rPr>
                <w:noProof/>
                <w:webHidden/>
              </w:rPr>
              <w:tab/>
            </w:r>
            <w:r>
              <w:rPr>
                <w:noProof/>
                <w:webHidden/>
              </w:rPr>
              <w:fldChar w:fldCharType="begin"/>
            </w:r>
            <w:r>
              <w:rPr>
                <w:noProof/>
                <w:webHidden/>
              </w:rPr>
              <w:instrText xml:space="preserve"> PAGEREF _Toc400525395 \h </w:instrText>
            </w:r>
            <w:r>
              <w:rPr>
                <w:noProof/>
                <w:webHidden/>
              </w:rPr>
            </w:r>
            <w:r>
              <w:rPr>
                <w:noProof/>
                <w:webHidden/>
              </w:rPr>
              <w:fldChar w:fldCharType="separate"/>
            </w:r>
            <w:r w:rsidR="0099684C">
              <w:rPr>
                <w:noProof/>
                <w:webHidden/>
              </w:rPr>
              <w:t>27</w:t>
            </w:r>
            <w:r>
              <w:rPr>
                <w:noProof/>
                <w:webHidden/>
              </w:rPr>
              <w:fldChar w:fldCharType="end"/>
            </w:r>
          </w:hyperlink>
        </w:p>
        <w:p w14:paraId="13D526D5" w14:textId="77777777" w:rsidR="006061ED" w:rsidRDefault="006061ED" w:rsidP="006061ED">
          <w:pPr>
            <w:pStyle w:val="TDC2"/>
            <w:tabs>
              <w:tab w:val="clear" w:pos="5040"/>
              <w:tab w:val="right" w:leader="dot" w:pos="7938"/>
            </w:tabs>
            <w:rPr>
              <w:rStyle w:val="Hipervnculo"/>
              <w:noProof/>
            </w:rPr>
          </w:pPr>
        </w:p>
        <w:p w14:paraId="650BCA89" w14:textId="134FEF31" w:rsidR="006061ED" w:rsidRPr="006061ED" w:rsidRDefault="00A5627F" w:rsidP="006061ED">
          <w:pPr>
            <w:pStyle w:val="TDC2"/>
            <w:tabs>
              <w:tab w:val="clear" w:pos="5040"/>
              <w:tab w:val="right" w:leader="dot" w:pos="7938"/>
            </w:tabs>
            <w:ind w:left="709"/>
            <w:rPr>
              <w:rStyle w:val="Hipervnculo"/>
              <w:rFonts w:asciiTheme="minorHAnsi" w:hAnsiTheme="minorHAnsi"/>
              <w:noProof/>
              <w:color w:val="auto"/>
              <w:u w:val="none"/>
              <w:lang w:val="es-ES" w:eastAsia="es-ES"/>
            </w:rPr>
          </w:pPr>
          <w:hyperlink w:anchor="_Toc400525396" w:history="1">
            <w:r w:rsidR="006061ED">
              <w:rPr>
                <w:rStyle w:val="Hipervnculo"/>
                <w:noProof/>
                <w:lang w:val="es-ES"/>
              </w:rPr>
              <w:t>5.1</w:t>
            </w:r>
            <w:r w:rsidRPr="006D4CEE">
              <w:rPr>
                <w:rStyle w:val="Hipervnculo"/>
                <w:noProof/>
                <w:lang w:val="es-ES"/>
              </w:rPr>
              <w:t>. Evergreening. Introducción.</w:t>
            </w:r>
            <w:r>
              <w:rPr>
                <w:noProof/>
                <w:webHidden/>
              </w:rPr>
              <w:tab/>
            </w:r>
            <w:r>
              <w:rPr>
                <w:noProof/>
                <w:webHidden/>
              </w:rPr>
              <w:fldChar w:fldCharType="begin"/>
            </w:r>
            <w:r>
              <w:rPr>
                <w:noProof/>
                <w:webHidden/>
              </w:rPr>
              <w:instrText xml:space="preserve"> PAGEREF _Toc400525396 \h </w:instrText>
            </w:r>
            <w:r>
              <w:rPr>
                <w:noProof/>
                <w:webHidden/>
              </w:rPr>
            </w:r>
            <w:r>
              <w:rPr>
                <w:noProof/>
                <w:webHidden/>
              </w:rPr>
              <w:fldChar w:fldCharType="separate"/>
            </w:r>
            <w:r w:rsidR="0099684C">
              <w:rPr>
                <w:noProof/>
                <w:webHidden/>
              </w:rPr>
              <w:t>27</w:t>
            </w:r>
            <w:r>
              <w:rPr>
                <w:noProof/>
                <w:webHidden/>
              </w:rPr>
              <w:fldChar w:fldCharType="end"/>
            </w:r>
          </w:hyperlink>
        </w:p>
        <w:p w14:paraId="075B19C8" w14:textId="22F23BD2"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97" w:history="1">
            <w:r w:rsidR="006061ED">
              <w:rPr>
                <w:rStyle w:val="Hipervnculo"/>
                <w:noProof/>
                <w:lang w:val="es-ES"/>
              </w:rPr>
              <w:t>5.2</w:t>
            </w:r>
            <w:r w:rsidRPr="006D4CEE">
              <w:rPr>
                <w:rStyle w:val="Hipervnculo"/>
                <w:noProof/>
                <w:lang w:val="es-ES"/>
              </w:rPr>
              <w:t>. Derechos de propiedad intelectual Vs derecho de la competencia.</w:t>
            </w:r>
            <w:r>
              <w:rPr>
                <w:noProof/>
                <w:webHidden/>
              </w:rPr>
              <w:tab/>
            </w:r>
            <w:r>
              <w:rPr>
                <w:noProof/>
                <w:webHidden/>
              </w:rPr>
              <w:fldChar w:fldCharType="begin"/>
            </w:r>
            <w:r>
              <w:rPr>
                <w:noProof/>
                <w:webHidden/>
              </w:rPr>
              <w:instrText xml:space="preserve"> PAGEREF _Toc400525397 \h </w:instrText>
            </w:r>
            <w:r>
              <w:rPr>
                <w:noProof/>
                <w:webHidden/>
              </w:rPr>
            </w:r>
            <w:r>
              <w:rPr>
                <w:noProof/>
                <w:webHidden/>
              </w:rPr>
              <w:fldChar w:fldCharType="separate"/>
            </w:r>
            <w:r w:rsidR="0099684C">
              <w:rPr>
                <w:noProof/>
                <w:webHidden/>
              </w:rPr>
              <w:t>27</w:t>
            </w:r>
            <w:r>
              <w:rPr>
                <w:noProof/>
                <w:webHidden/>
              </w:rPr>
              <w:fldChar w:fldCharType="end"/>
            </w:r>
          </w:hyperlink>
        </w:p>
        <w:p w14:paraId="4CF8CD1F"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398" w:history="1">
            <w:r w:rsidRPr="006D4CEE">
              <w:rPr>
                <w:rStyle w:val="Hipervnculo"/>
                <w:noProof/>
                <w:lang w:val="es-ES"/>
              </w:rPr>
              <w:t>5.3. Abuso de posición de dominio y evergreening.</w:t>
            </w:r>
            <w:r>
              <w:rPr>
                <w:noProof/>
                <w:webHidden/>
              </w:rPr>
              <w:tab/>
            </w:r>
            <w:r>
              <w:rPr>
                <w:noProof/>
                <w:webHidden/>
              </w:rPr>
              <w:fldChar w:fldCharType="begin"/>
            </w:r>
            <w:r>
              <w:rPr>
                <w:noProof/>
                <w:webHidden/>
              </w:rPr>
              <w:instrText xml:space="preserve"> PAGEREF _Toc400525398 \h </w:instrText>
            </w:r>
            <w:r>
              <w:rPr>
                <w:noProof/>
                <w:webHidden/>
              </w:rPr>
            </w:r>
            <w:r>
              <w:rPr>
                <w:noProof/>
                <w:webHidden/>
              </w:rPr>
              <w:fldChar w:fldCharType="separate"/>
            </w:r>
            <w:r w:rsidR="0099684C">
              <w:rPr>
                <w:noProof/>
                <w:webHidden/>
              </w:rPr>
              <w:t>28</w:t>
            </w:r>
            <w:r>
              <w:rPr>
                <w:noProof/>
                <w:webHidden/>
              </w:rPr>
              <w:fldChar w:fldCharType="end"/>
            </w:r>
          </w:hyperlink>
        </w:p>
        <w:p w14:paraId="733F78D7" w14:textId="77777777" w:rsidR="006061ED" w:rsidRDefault="006061ED" w:rsidP="006061ED">
          <w:pPr>
            <w:pStyle w:val="TDC1"/>
            <w:tabs>
              <w:tab w:val="clear" w:pos="5040"/>
              <w:tab w:val="left" w:pos="1100"/>
              <w:tab w:val="right" w:leader="dot" w:pos="7938"/>
            </w:tabs>
            <w:rPr>
              <w:rStyle w:val="Hipervnculo"/>
              <w:noProof/>
            </w:rPr>
          </w:pPr>
        </w:p>
        <w:p w14:paraId="7FE1F254" w14:textId="70E93CE7" w:rsidR="00A5627F" w:rsidRDefault="00A5627F" w:rsidP="006061ED">
          <w:pPr>
            <w:pStyle w:val="TDC1"/>
            <w:tabs>
              <w:tab w:val="clear" w:pos="5040"/>
              <w:tab w:val="left" w:pos="1100"/>
              <w:tab w:val="right" w:leader="dot" w:pos="7938"/>
            </w:tabs>
            <w:rPr>
              <w:rFonts w:asciiTheme="minorHAnsi" w:hAnsiTheme="minorHAnsi"/>
              <w:noProof/>
              <w:lang w:val="es-ES" w:eastAsia="es-ES"/>
            </w:rPr>
          </w:pPr>
          <w:hyperlink w:anchor="_Toc400525399" w:history="1">
            <w:r w:rsidRPr="006D4CEE">
              <w:rPr>
                <w:rStyle w:val="Hipervnculo"/>
                <w:rFonts w:cs="Arial"/>
                <w:noProof/>
              </w:rPr>
              <w:t>6.</w:t>
            </w:r>
            <w:r w:rsidR="006061ED">
              <w:rPr>
                <w:rFonts w:asciiTheme="minorHAnsi" w:hAnsiTheme="minorHAnsi"/>
                <w:noProof/>
                <w:lang w:val="es-ES" w:eastAsia="es-ES"/>
              </w:rPr>
              <w:t xml:space="preserve"> </w:t>
            </w:r>
            <w:r w:rsidRPr="006D4CEE">
              <w:rPr>
                <w:rStyle w:val="Hipervnculo"/>
                <w:rFonts w:cs="Arial"/>
                <w:noProof/>
              </w:rPr>
              <w:t>PRINCIPALES PRÁCTICAS DE EVERGREENING.</w:t>
            </w:r>
            <w:r>
              <w:rPr>
                <w:noProof/>
                <w:webHidden/>
              </w:rPr>
              <w:tab/>
            </w:r>
            <w:r>
              <w:rPr>
                <w:noProof/>
                <w:webHidden/>
              </w:rPr>
              <w:fldChar w:fldCharType="begin"/>
            </w:r>
            <w:r>
              <w:rPr>
                <w:noProof/>
                <w:webHidden/>
              </w:rPr>
              <w:instrText xml:space="preserve"> PAGEREF _Toc400525399 \h </w:instrText>
            </w:r>
            <w:r>
              <w:rPr>
                <w:noProof/>
                <w:webHidden/>
              </w:rPr>
            </w:r>
            <w:r>
              <w:rPr>
                <w:noProof/>
                <w:webHidden/>
              </w:rPr>
              <w:fldChar w:fldCharType="separate"/>
            </w:r>
            <w:r w:rsidR="0099684C">
              <w:rPr>
                <w:noProof/>
                <w:webHidden/>
              </w:rPr>
              <w:t>30</w:t>
            </w:r>
            <w:r>
              <w:rPr>
                <w:noProof/>
                <w:webHidden/>
              </w:rPr>
              <w:fldChar w:fldCharType="end"/>
            </w:r>
          </w:hyperlink>
        </w:p>
        <w:p w14:paraId="1065E27B" w14:textId="77777777" w:rsidR="006061ED" w:rsidRDefault="006061ED" w:rsidP="006061ED">
          <w:pPr>
            <w:pStyle w:val="TDC2"/>
            <w:tabs>
              <w:tab w:val="clear" w:pos="5040"/>
              <w:tab w:val="right" w:leader="dot" w:pos="7938"/>
            </w:tabs>
            <w:rPr>
              <w:rStyle w:val="Hipervnculo"/>
              <w:noProof/>
            </w:rPr>
          </w:pPr>
        </w:p>
        <w:p w14:paraId="1A1A7914"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400" w:history="1">
            <w:r w:rsidRPr="006D4CEE">
              <w:rPr>
                <w:rStyle w:val="Hipervnculo"/>
                <w:noProof/>
                <w:lang w:val="es-ES"/>
              </w:rPr>
              <w:t>6.1. Patent Cluster.</w:t>
            </w:r>
            <w:r>
              <w:rPr>
                <w:noProof/>
                <w:webHidden/>
              </w:rPr>
              <w:tab/>
            </w:r>
            <w:r>
              <w:rPr>
                <w:noProof/>
                <w:webHidden/>
              </w:rPr>
              <w:fldChar w:fldCharType="begin"/>
            </w:r>
            <w:r>
              <w:rPr>
                <w:noProof/>
                <w:webHidden/>
              </w:rPr>
              <w:instrText xml:space="preserve"> PAGEREF _Toc400525400 \h </w:instrText>
            </w:r>
            <w:r>
              <w:rPr>
                <w:noProof/>
                <w:webHidden/>
              </w:rPr>
            </w:r>
            <w:r>
              <w:rPr>
                <w:noProof/>
                <w:webHidden/>
              </w:rPr>
              <w:fldChar w:fldCharType="separate"/>
            </w:r>
            <w:r w:rsidR="0099684C">
              <w:rPr>
                <w:noProof/>
                <w:webHidden/>
              </w:rPr>
              <w:t>30</w:t>
            </w:r>
            <w:r>
              <w:rPr>
                <w:noProof/>
                <w:webHidden/>
              </w:rPr>
              <w:fldChar w:fldCharType="end"/>
            </w:r>
          </w:hyperlink>
        </w:p>
        <w:p w14:paraId="04A3B1C9"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401" w:history="1">
            <w:r w:rsidRPr="006D4CEE">
              <w:rPr>
                <w:rStyle w:val="Hipervnculo"/>
                <w:noProof/>
                <w:lang w:val="es-ES"/>
              </w:rPr>
              <w:t>6.2. Solicitudes divisionarias de patentes.</w:t>
            </w:r>
            <w:r>
              <w:rPr>
                <w:noProof/>
                <w:webHidden/>
              </w:rPr>
              <w:tab/>
            </w:r>
            <w:r>
              <w:rPr>
                <w:noProof/>
                <w:webHidden/>
              </w:rPr>
              <w:fldChar w:fldCharType="begin"/>
            </w:r>
            <w:r>
              <w:rPr>
                <w:noProof/>
                <w:webHidden/>
              </w:rPr>
              <w:instrText xml:space="preserve"> PAGEREF _Toc400525401 \h </w:instrText>
            </w:r>
            <w:r>
              <w:rPr>
                <w:noProof/>
                <w:webHidden/>
              </w:rPr>
            </w:r>
            <w:r>
              <w:rPr>
                <w:noProof/>
                <w:webHidden/>
              </w:rPr>
              <w:fldChar w:fldCharType="separate"/>
            </w:r>
            <w:r w:rsidR="0099684C">
              <w:rPr>
                <w:noProof/>
                <w:webHidden/>
              </w:rPr>
              <w:t>31</w:t>
            </w:r>
            <w:r>
              <w:rPr>
                <w:noProof/>
                <w:webHidden/>
              </w:rPr>
              <w:fldChar w:fldCharType="end"/>
            </w:r>
          </w:hyperlink>
        </w:p>
        <w:p w14:paraId="16E8245E"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402" w:history="1">
            <w:r w:rsidRPr="006D4CEE">
              <w:rPr>
                <w:rStyle w:val="Hipervnculo"/>
                <w:noProof/>
                <w:lang w:val="es-ES"/>
              </w:rPr>
              <w:t>6.3. Litigación sobre patentes.</w:t>
            </w:r>
            <w:r>
              <w:rPr>
                <w:noProof/>
                <w:webHidden/>
              </w:rPr>
              <w:tab/>
            </w:r>
            <w:r>
              <w:rPr>
                <w:noProof/>
                <w:webHidden/>
              </w:rPr>
              <w:fldChar w:fldCharType="begin"/>
            </w:r>
            <w:r>
              <w:rPr>
                <w:noProof/>
                <w:webHidden/>
              </w:rPr>
              <w:instrText xml:space="preserve"> PAGEREF _Toc400525402 \h </w:instrText>
            </w:r>
            <w:r>
              <w:rPr>
                <w:noProof/>
                <w:webHidden/>
              </w:rPr>
            </w:r>
            <w:r>
              <w:rPr>
                <w:noProof/>
                <w:webHidden/>
              </w:rPr>
              <w:fldChar w:fldCharType="separate"/>
            </w:r>
            <w:r w:rsidR="0099684C">
              <w:rPr>
                <w:noProof/>
                <w:webHidden/>
              </w:rPr>
              <w:t>32</w:t>
            </w:r>
            <w:r>
              <w:rPr>
                <w:noProof/>
                <w:webHidden/>
              </w:rPr>
              <w:fldChar w:fldCharType="end"/>
            </w:r>
          </w:hyperlink>
        </w:p>
        <w:p w14:paraId="62C7F467"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403" w:history="1">
            <w:r w:rsidRPr="006D4CEE">
              <w:rPr>
                <w:rStyle w:val="Hipervnculo"/>
                <w:noProof/>
                <w:lang w:val="es-ES"/>
              </w:rPr>
              <w:t>6.4. Productos de segunda generación.</w:t>
            </w:r>
            <w:r>
              <w:rPr>
                <w:noProof/>
                <w:webHidden/>
              </w:rPr>
              <w:tab/>
            </w:r>
            <w:r>
              <w:rPr>
                <w:noProof/>
                <w:webHidden/>
              </w:rPr>
              <w:fldChar w:fldCharType="begin"/>
            </w:r>
            <w:r>
              <w:rPr>
                <w:noProof/>
                <w:webHidden/>
              </w:rPr>
              <w:instrText xml:space="preserve"> PAGEREF _Toc400525403 \h </w:instrText>
            </w:r>
            <w:r>
              <w:rPr>
                <w:noProof/>
                <w:webHidden/>
              </w:rPr>
            </w:r>
            <w:r>
              <w:rPr>
                <w:noProof/>
                <w:webHidden/>
              </w:rPr>
              <w:fldChar w:fldCharType="separate"/>
            </w:r>
            <w:r w:rsidR="0099684C">
              <w:rPr>
                <w:noProof/>
                <w:webHidden/>
              </w:rPr>
              <w:t>34</w:t>
            </w:r>
            <w:r>
              <w:rPr>
                <w:noProof/>
                <w:webHidden/>
              </w:rPr>
              <w:fldChar w:fldCharType="end"/>
            </w:r>
          </w:hyperlink>
        </w:p>
        <w:p w14:paraId="2BF7ED7C" w14:textId="77777777" w:rsidR="00A5627F" w:rsidRDefault="00A5627F" w:rsidP="006061ED">
          <w:pPr>
            <w:pStyle w:val="TDC2"/>
            <w:tabs>
              <w:tab w:val="clear" w:pos="5040"/>
              <w:tab w:val="right" w:leader="dot" w:pos="7938"/>
            </w:tabs>
            <w:ind w:left="709"/>
            <w:rPr>
              <w:rFonts w:asciiTheme="minorHAnsi" w:hAnsiTheme="minorHAnsi"/>
              <w:noProof/>
              <w:lang w:val="es-ES" w:eastAsia="es-ES"/>
            </w:rPr>
          </w:pPr>
          <w:hyperlink w:anchor="_Toc400525404" w:history="1">
            <w:r w:rsidRPr="006D4CEE">
              <w:rPr>
                <w:rStyle w:val="Hipervnculo"/>
                <w:noProof/>
                <w:lang w:val="es-ES"/>
              </w:rPr>
              <w:t>6.5. Otras prácticas de cuestionables.</w:t>
            </w:r>
            <w:r>
              <w:rPr>
                <w:noProof/>
                <w:webHidden/>
              </w:rPr>
              <w:tab/>
            </w:r>
            <w:r>
              <w:rPr>
                <w:noProof/>
                <w:webHidden/>
              </w:rPr>
              <w:fldChar w:fldCharType="begin"/>
            </w:r>
            <w:r>
              <w:rPr>
                <w:noProof/>
                <w:webHidden/>
              </w:rPr>
              <w:instrText xml:space="preserve"> PAGEREF _Toc400525404 \h </w:instrText>
            </w:r>
            <w:r>
              <w:rPr>
                <w:noProof/>
                <w:webHidden/>
              </w:rPr>
            </w:r>
            <w:r>
              <w:rPr>
                <w:noProof/>
                <w:webHidden/>
              </w:rPr>
              <w:fldChar w:fldCharType="separate"/>
            </w:r>
            <w:r w:rsidR="0099684C">
              <w:rPr>
                <w:noProof/>
                <w:webHidden/>
              </w:rPr>
              <w:t>36</w:t>
            </w:r>
            <w:r>
              <w:rPr>
                <w:noProof/>
                <w:webHidden/>
              </w:rPr>
              <w:fldChar w:fldCharType="end"/>
            </w:r>
          </w:hyperlink>
        </w:p>
        <w:p w14:paraId="2FAE5410" w14:textId="77777777" w:rsidR="006061ED" w:rsidRDefault="006061ED" w:rsidP="006061ED">
          <w:pPr>
            <w:pStyle w:val="TDC1"/>
            <w:tabs>
              <w:tab w:val="clear" w:pos="5040"/>
              <w:tab w:val="left" w:pos="1100"/>
              <w:tab w:val="right" w:leader="dot" w:pos="7938"/>
            </w:tabs>
            <w:rPr>
              <w:rStyle w:val="Hipervnculo"/>
              <w:noProof/>
            </w:rPr>
          </w:pPr>
        </w:p>
        <w:p w14:paraId="615E6E42" w14:textId="17A53387" w:rsidR="00A5627F" w:rsidRDefault="00A5627F" w:rsidP="006061ED">
          <w:pPr>
            <w:pStyle w:val="TDC1"/>
            <w:tabs>
              <w:tab w:val="clear" w:pos="5040"/>
              <w:tab w:val="left" w:pos="1100"/>
              <w:tab w:val="right" w:leader="dot" w:pos="7938"/>
            </w:tabs>
            <w:rPr>
              <w:rFonts w:asciiTheme="minorHAnsi" w:hAnsiTheme="minorHAnsi"/>
              <w:noProof/>
              <w:lang w:val="es-ES" w:eastAsia="es-ES"/>
            </w:rPr>
          </w:pPr>
          <w:hyperlink w:anchor="_Toc400525405" w:history="1">
            <w:r w:rsidRPr="006D4CEE">
              <w:rPr>
                <w:rStyle w:val="Hipervnculo"/>
                <w:rFonts w:cs="Arial"/>
                <w:noProof/>
              </w:rPr>
              <w:t>7.</w:t>
            </w:r>
            <w:r w:rsidR="006061ED">
              <w:rPr>
                <w:rFonts w:asciiTheme="minorHAnsi" w:hAnsiTheme="minorHAnsi"/>
                <w:noProof/>
                <w:lang w:val="es-ES" w:eastAsia="es-ES"/>
              </w:rPr>
              <w:t xml:space="preserve"> </w:t>
            </w:r>
            <w:r w:rsidRPr="006D4CEE">
              <w:rPr>
                <w:rStyle w:val="Hipervnculo"/>
                <w:rFonts w:cs="Arial"/>
                <w:noProof/>
              </w:rPr>
              <w:t>CONCLUSIONES</w:t>
            </w:r>
            <w:r>
              <w:rPr>
                <w:noProof/>
                <w:webHidden/>
              </w:rPr>
              <w:tab/>
            </w:r>
            <w:r>
              <w:rPr>
                <w:noProof/>
                <w:webHidden/>
              </w:rPr>
              <w:fldChar w:fldCharType="begin"/>
            </w:r>
            <w:r>
              <w:rPr>
                <w:noProof/>
                <w:webHidden/>
              </w:rPr>
              <w:instrText xml:space="preserve"> PAGEREF _Toc400525405 \h </w:instrText>
            </w:r>
            <w:r>
              <w:rPr>
                <w:noProof/>
                <w:webHidden/>
              </w:rPr>
            </w:r>
            <w:r>
              <w:rPr>
                <w:noProof/>
                <w:webHidden/>
              </w:rPr>
              <w:fldChar w:fldCharType="separate"/>
            </w:r>
            <w:r w:rsidR="0099684C">
              <w:rPr>
                <w:noProof/>
                <w:webHidden/>
              </w:rPr>
              <w:t>37</w:t>
            </w:r>
            <w:r>
              <w:rPr>
                <w:noProof/>
                <w:webHidden/>
              </w:rPr>
              <w:fldChar w:fldCharType="end"/>
            </w:r>
          </w:hyperlink>
        </w:p>
        <w:p w14:paraId="4DDBB950" w14:textId="77777777" w:rsidR="006061ED" w:rsidRDefault="006061ED" w:rsidP="006061ED">
          <w:pPr>
            <w:pStyle w:val="TDC1"/>
            <w:tabs>
              <w:tab w:val="clear" w:pos="5040"/>
              <w:tab w:val="right" w:leader="dot" w:pos="7938"/>
            </w:tabs>
            <w:rPr>
              <w:rStyle w:val="Hipervnculo"/>
              <w:noProof/>
            </w:rPr>
          </w:pPr>
        </w:p>
        <w:p w14:paraId="7EB8CD5D" w14:textId="06F1EE04" w:rsidR="00A5627F" w:rsidRPr="006412F5" w:rsidRDefault="00A5627F" w:rsidP="006061ED">
          <w:pPr>
            <w:pStyle w:val="TDC1"/>
            <w:tabs>
              <w:tab w:val="clear" w:pos="5040"/>
              <w:tab w:val="right" w:leader="dot" w:pos="7938"/>
            </w:tabs>
            <w:rPr>
              <w:rFonts w:asciiTheme="minorHAnsi" w:hAnsiTheme="minorHAnsi"/>
              <w:noProof/>
              <w:lang w:val="es-ES" w:eastAsia="es-ES"/>
            </w:rPr>
          </w:pPr>
          <w:hyperlink w:anchor="_Toc400525406" w:history="1">
            <w:r w:rsidRPr="006D4CEE">
              <w:rPr>
                <w:rStyle w:val="Hipervnculo"/>
                <w:rFonts w:cs="Arial"/>
                <w:noProof/>
                <w:lang w:val="es-ES"/>
              </w:rPr>
              <w:t>Bibliografía</w:t>
            </w:r>
            <w:r>
              <w:rPr>
                <w:noProof/>
                <w:webHidden/>
              </w:rPr>
              <w:tab/>
            </w:r>
            <w:r>
              <w:rPr>
                <w:noProof/>
                <w:webHidden/>
              </w:rPr>
              <w:fldChar w:fldCharType="begin"/>
            </w:r>
            <w:r>
              <w:rPr>
                <w:noProof/>
                <w:webHidden/>
              </w:rPr>
              <w:instrText xml:space="preserve"> PAGEREF _Toc400525406 \h </w:instrText>
            </w:r>
            <w:r>
              <w:rPr>
                <w:noProof/>
                <w:webHidden/>
              </w:rPr>
              <w:fldChar w:fldCharType="separate"/>
            </w:r>
            <w:r w:rsidR="0099684C">
              <w:rPr>
                <w:b/>
                <w:bCs/>
                <w:noProof/>
                <w:webHidden/>
                <w:lang w:val="es-ES"/>
              </w:rPr>
              <w:t>¡Error! Marcador no definido.</w:t>
            </w:r>
            <w:r>
              <w:rPr>
                <w:noProof/>
                <w:webHidden/>
              </w:rPr>
              <w:fldChar w:fldCharType="end"/>
            </w:r>
          </w:hyperlink>
          <w:r w:rsidR="006412F5" w:rsidRPr="006412F5">
            <w:rPr>
              <w:rStyle w:val="Hipervnculo"/>
              <w:noProof/>
              <w:color w:val="auto"/>
              <w:u w:val="none"/>
            </w:rPr>
            <w:t>9</w:t>
          </w:r>
        </w:p>
        <w:p w14:paraId="702192B2" w14:textId="77777777" w:rsidR="003A04A9" w:rsidRDefault="003A04A9" w:rsidP="0092507F">
          <w:pPr>
            <w:tabs>
              <w:tab w:val="right" w:leader="dot" w:pos="7513"/>
              <w:tab w:val="right" w:leader="dot" w:pos="7938"/>
              <w:tab w:val="right" w:leader="dot" w:pos="8222"/>
            </w:tabs>
          </w:pPr>
          <w:r>
            <w:rPr>
              <w:b/>
              <w:bCs/>
            </w:rPr>
            <w:fldChar w:fldCharType="end"/>
          </w:r>
        </w:p>
      </w:sdtContent>
    </w:sdt>
    <w:p w14:paraId="5305B032" w14:textId="77777777" w:rsidR="001C66BB" w:rsidRPr="00AC4499" w:rsidRDefault="001C66BB" w:rsidP="00830E21">
      <w:pPr>
        <w:ind w:firstLine="284"/>
        <w:rPr>
          <w:rFonts w:eastAsiaTheme="majorEastAsia" w:cs="Arial"/>
          <w:b/>
          <w:bCs/>
          <w:color w:val="1481AB" w:themeColor="accent1" w:themeShade="BF"/>
          <w:lang w:val="es-ES_tradnl"/>
        </w:rPr>
      </w:pPr>
      <w:r w:rsidRPr="00AC4499">
        <w:rPr>
          <w:rFonts w:cs="Arial"/>
          <w:lang w:val="es-ES_tradnl"/>
        </w:rPr>
        <w:br w:type="page"/>
      </w:r>
    </w:p>
    <w:p w14:paraId="1C455FFC" w14:textId="411B1294" w:rsidR="00B22C35" w:rsidRDefault="00AA1D3F" w:rsidP="00DB0028">
      <w:pPr>
        <w:pStyle w:val="Etiquetadefilas"/>
        <w:numPr>
          <w:ilvl w:val="0"/>
          <w:numId w:val="15"/>
        </w:numPr>
        <w:spacing w:before="0"/>
        <w:ind w:left="567" w:hanging="567"/>
        <w:rPr>
          <w:rFonts w:ascii="Arial" w:hAnsi="Arial" w:cs="Arial"/>
          <w:color w:val="FF0000"/>
          <w:szCs w:val="22"/>
        </w:rPr>
      </w:pPr>
      <w:bookmarkStart w:id="1" w:name="_Toc400525376"/>
      <w:r>
        <w:rPr>
          <w:rFonts w:ascii="Arial" w:hAnsi="Arial" w:cs="Arial"/>
          <w:color w:val="FF0000"/>
          <w:szCs w:val="22"/>
        </w:rPr>
        <w:lastRenderedPageBreak/>
        <w:t>SISTEMA</w:t>
      </w:r>
      <w:r w:rsidR="003A04A9">
        <w:rPr>
          <w:rFonts w:ascii="Arial" w:hAnsi="Arial" w:cs="Arial"/>
          <w:color w:val="FF0000"/>
          <w:szCs w:val="22"/>
        </w:rPr>
        <w:t>S</w:t>
      </w:r>
      <w:r>
        <w:rPr>
          <w:rFonts w:ascii="Arial" w:hAnsi="Arial" w:cs="Arial"/>
          <w:color w:val="FF0000"/>
          <w:szCs w:val="22"/>
        </w:rPr>
        <w:t xml:space="preserve"> DE </w:t>
      </w:r>
      <w:r w:rsidR="00830E21">
        <w:rPr>
          <w:rFonts w:ascii="Arial" w:hAnsi="Arial" w:cs="Arial"/>
          <w:color w:val="FF0000"/>
          <w:szCs w:val="22"/>
        </w:rPr>
        <w:t>PATENTES Y SU LEGISLACIÓN</w:t>
      </w:r>
      <w:bookmarkEnd w:id="1"/>
    </w:p>
    <w:p w14:paraId="2C7FF6A7" w14:textId="77777777" w:rsidR="00F24C18" w:rsidRDefault="00F24C18" w:rsidP="00F24C18">
      <w:pPr>
        <w:ind w:left="0"/>
        <w:rPr>
          <w:rFonts w:cs="Arial"/>
          <w:lang w:val="es-ES_tradnl"/>
        </w:rPr>
      </w:pPr>
    </w:p>
    <w:p w14:paraId="44262FAC" w14:textId="62EE4C04" w:rsidR="003A04A9" w:rsidRDefault="00606312" w:rsidP="00BB13EE">
      <w:pPr>
        <w:ind w:left="0" w:firstLine="360"/>
        <w:rPr>
          <w:rFonts w:cs="Arial"/>
          <w:lang w:val="es-ES_tradnl"/>
        </w:rPr>
      </w:pPr>
      <w:r>
        <w:rPr>
          <w:rFonts w:cs="Arial"/>
          <w:lang w:val="es-ES_tradnl"/>
        </w:rPr>
        <w:t>El objeto de este primer epígrafe es hacer un breve ejercicio de memoria sobre los aspectos más relevantes del sistema de patentes tanto</w:t>
      </w:r>
      <w:r w:rsidR="00346081">
        <w:rPr>
          <w:rFonts w:cs="Arial"/>
          <w:lang w:val="es-ES_tradnl"/>
        </w:rPr>
        <w:t xml:space="preserve"> a nivel nacional como europeo.</w:t>
      </w:r>
    </w:p>
    <w:p w14:paraId="5D215608" w14:textId="77777777" w:rsidR="00346081" w:rsidRDefault="00346081" w:rsidP="00346081">
      <w:pPr>
        <w:ind w:left="0"/>
        <w:rPr>
          <w:rFonts w:cs="Arial"/>
          <w:lang w:val="es-ES_tradnl"/>
        </w:rPr>
      </w:pPr>
    </w:p>
    <w:p w14:paraId="07FFAC82" w14:textId="1BCFF597" w:rsidR="003A04A9" w:rsidRPr="0042706A" w:rsidRDefault="003A04A9" w:rsidP="003A04A9">
      <w:pPr>
        <w:pStyle w:val="Ttulo2"/>
        <w:rPr>
          <w:rFonts w:cs="Arial"/>
          <w:lang w:val="es-ES"/>
        </w:rPr>
      </w:pPr>
      <w:bookmarkStart w:id="2" w:name="_Toc400525377"/>
      <w:r w:rsidRPr="0042706A">
        <w:rPr>
          <w:lang w:val="es-ES"/>
        </w:rPr>
        <w:t>1.1. ¿Qué es una patente?</w:t>
      </w:r>
      <w:bookmarkEnd w:id="2"/>
    </w:p>
    <w:p w14:paraId="7689B497" w14:textId="77777777" w:rsidR="003A04A9" w:rsidRDefault="003A04A9" w:rsidP="003A04A9">
      <w:pPr>
        <w:ind w:left="0"/>
        <w:rPr>
          <w:rFonts w:cs="Arial"/>
          <w:lang w:val="es-ES_tradnl"/>
        </w:rPr>
      </w:pPr>
    </w:p>
    <w:p w14:paraId="1BE1FBFE" w14:textId="77777777" w:rsidR="003A04A9" w:rsidRDefault="003A04A9" w:rsidP="00BB13EE">
      <w:pPr>
        <w:ind w:left="0" w:firstLine="360"/>
        <w:rPr>
          <w:rFonts w:cs="Arial"/>
          <w:lang w:val="es-ES_tradnl"/>
        </w:rPr>
      </w:pPr>
      <w:r w:rsidRPr="003A04A9">
        <w:rPr>
          <w:rFonts w:cs="Arial"/>
          <w:lang w:val="es-ES_tradnl"/>
        </w:rPr>
        <w:t xml:space="preserve">Una </w:t>
      </w:r>
      <w:r>
        <w:rPr>
          <w:rFonts w:cs="Arial"/>
          <w:lang w:val="es-ES_tradnl"/>
        </w:rPr>
        <w:t>patente puede ser concedida por cualquier invención, que tenga un carácter técnico y siempre que sea novedosa, intervenga una actividad inventiva y sea susceptible de una aplicabilidad industrial. Una patente puede versar sobre cómo funcionan, qué hacen, de qué están hechas, o como se han fabricado las cosas. Cualquier persona, ya sea un individuo, una empresa o una institución, puede solicitar una patente.</w:t>
      </w:r>
    </w:p>
    <w:p w14:paraId="478D11EB" w14:textId="77777777" w:rsidR="003A04A9" w:rsidRDefault="003A04A9" w:rsidP="00BB13EE">
      <w:pPr>
        <w:pStyle w:val="NormalWeb"/>
        <w:shd w:val="clear" w:color="auto" w:fill="FFFFFF"/>
        <w:ind w:firstLine="284"/>
        <w:jc w:val="both"/>
        <w:rPr>
          <w:rFonts w:ascii="Arial" w:eastAsiaTheme="minorEastAsia" w:hAnsi="Arial" w:cs="Arial"/>
          <w:sz w:val="22"/>
          <w:szCs w:val="22"/>
          <w:lang w:val="es-ES_tradnl" w:eastAsia="zh-CN"/>
        </w:rPr>
      </w:pPr>
      <w:r>
        <w:rPr>
          <w:rFonts w:ascii="Arial" w:eastAsiaTheme="minorEastAsia" w:hAnsi="Arial" w:cs="Arial"/>
          <w:sz w:val="22"/>
          <w:szCs w:val="22"/>
          <w:lang w:val="es-ES_tradnl" w:eastAsia="zh-CN"/>
        </w:rPr>
        <w:t>Las patentes animan a empresas e individuos a hacer inversiones en investigación e innovación. Si no fuera así no habría suficiente incentivo para éstos a la hora de destinar los recursos necesarios a la investigación y desarrollo.</w:t>
      </w:r>
    </w:p>
    <w:p w14:paraId="09F54BA0" w14:textId="77777777" w:rsidR="00BB13EE" w:rsidRPr="00BB13EE" w:rsidRDefault="003A04A9" w:rsidP="00BB13EE">
      <w:pPr>
        <w:pStyle w:val="NormalWeb"/>
        <w:shd w:val="clear" w:color="auto" w:fill="FFFFFF"/>
        <w:ind w:firstLine="284"/>
        <w:jc w:val="both"/>
        <w:rPr>
          <w:rFonts w:ascii="Arial" w:eastAsiaTheme="minorEastAsia" w:hAnsi="Arial" w:cs="Arial"/>
          <w:sz w:val="22"/>
          <w:szCs w:val="22"/>
          <w:lang w:val="es-ES_tradnl" w:eastAsia="zh-CN"/>
        </w:rPr>
      </w:pPr>
      <w:r w:rsidRPr="00BB13EE">
        <w:rPr>
          <w:rFonts w:ascii="Arial" w:eastAsiaTheme="minorEastAsia" w:hAnsi="Arial" w:cs="Arial"/>
          <w:sz w:val="22"/>
          <w:szCs w:val="22"/>
          <w:lang w:val="es-ES_tradnl" w:eastAsia="zh-CN"/>
        </w:rPr>
        <w:t xml:space="preserve">Una patente da el derecho a su propietario a impedir que otros hagan, usen o vendan su invención sin su permiso. Sin embargo, no siempre ocurre que el dueño de la patente haga uso de la misma. Además, muy a menudo, </w:t>
      </w:r>
      <w:r w:rsidR="00B94C98" w:rsidRPr="00BB13EE">
        <w:rPr>
          <w:rFonts w:ascii="Arial" w:eastAsiaTheme="minorEastAsia" w:hAnsi="Arial" w:cs="Arial"/>
          <w:sz w:val="22"/>
          <w:szCs w:val="22"/>
          <w:lang w:val="es-ES_tradnl" w:eastAsia="zh-CN"/>
        </w:rPr>
        <w:t xml:space="preserve">es necesario obtener </w:t>
      </w:r>
      <w:r w:rsidRPr="00BB13EE">
        <w:rPr>
          <w:rFonts w:ascii="Arial" w:eastAsiaTheme="minorEastAsia" w:hAnsi="Arial" w:cs="Arial"/>
          <w:sz w:val="22"/>
          <w:szCs w:val="22"/>
          <w:lang w:val="es-ES_tradnl" w:eastAsia="zh-CN"/>
        </w:rPr>
        <w:t xml:space="preserve">permisos de </w:t>
      </w:r>
      <w:r w:rsidR="00B94C98" w:rsidRPr="00BB13EE">
        <w:rPr>
          <w:rFonts w:ascii="Arial" w:eastAsiaTheme="minorEastAsia" w:hAnsi="Arial" w:cs="Arial"/>
          <w:sz w:val="22"/>
          <w:szCs w:val="22"/>
          <w:lang w:val="es-ES_tradnl" w:eastAsia="zh-CN"/>
        </w:rPr>
        <w:t>entidades estatales regidas por leyes distintas de la legislación sobre propiedad industrial antes de poder comercializar un producto que ha obtenido la protección de una patente.</w:t>
      </w:r>
    </w:p>
    <w:p w14:paraId="2262F824" w14:textId="77777777" w:rsidR="00B94C98" w:rsidRPr="00BB13EE" w:rsidRDefault="00B94C98" w:rsidP="00BB13EE">
      <w:pPr>
        <w:pStyle w:val="NormalWeb"/>
        <w:shd w:val="clear" w:color="auto" w:fill="FFFFFF"/>
        <w:ind w:firstLine="284"/>
        <w:jc w:val="both"/>
        <w:rPr>
          <w:rFonts w:ascii="Arial" w:eastAsiaTheme="minorEastAsia" w:hAnsi="Arial" w:cs="Arial"/>
          <w:sz w:val="22"/>
          <w:szCs w:val="22"/>
          <w:lang w:val="es-ES_tradnl" w:eastAsia="zh-CN"/>
        </w:rPr>
      </w:pPr>
      <w:r w:rsidRPr="00BB13EE">
        <w:rPr>
          <w:rFonts w:ascii="Arial" w:eastAsiaTheme="minorEastAsia" w:hAnsi="Arial" w:cs="Arial"/>
          <w:sz w:val="22"/>
          <w:szCs w:val="22"/>
          <w:lang w:val="es-ES_tradnl" w:eastAsia="zh-CN"/>
        </w:rPr>
        <w:t>Por norma general, los derechos de exclusividad conferidos por la patente al propietario de la misma duran un máximo de 20 años desde la solicitud de la misma, eso sí, siempre que se paguen las tasas de renovación en la oficina correspondiente. Cualquier tercero que desee usar la invención mientras esta esté patentada deberá solicitar una autorización al propietario de la patente y posiblemente habrá de pagarle para que éste le conceda una licencia de uso. A cambio de la protección obtenida y del derecho de uso exclusivo, la documentación de la invención son publicados a los 18 meses desde la presentación de la solicitud de la patente. De esta manera, los detalles técnicos y científicos de la invención son hechos públicos permitiendo a terceras personas, que así lo deseen, investigar más a fondo sobre la materia.</w:t>
      </w:r>
    </w:p>
    <w:p w14:paraId="49D64DB3" w14:textId="77777777" w:rsidR="00B94C98" w:rsidRPr="00BB13EE" w:rsidRDefault="00B94C98" w:rsidP="00BB13EE">
      <w:pPr>
        <w:pStyle w:val="NormalWeb"/>
        <w:shd w:val="clear" w:color="auto" w:fill="FFFFFF"/>
        <w:ind w:firstLine="284"/>
        <w:jc w:val="both"/>
        <w:rPr>
          <w:rFonts w:ascii="Arial" w:eastAsiaTheme="minorEastAsia" w:hAnsi="Arial" w:cs="Arial"/>
          <w:sz w:val="22"/>
          <w:szCs w:val="22"/>
          <w:lang w:val="es-ES_tradnl" w:eastAsia="zh-CN"/>
        </w:rPr>
      </w:pPr>
      <w:r w:rsidRPr="00BB13EE">
        <w:rPr>
          <w:rFonts w:ascii="Arial" w:eastAsiaTheme="minorEastAsia" w:hAnsi="Arial" w:cs="Arial"/>
          <w:sz w:val="22"/>
          <w:szCs w:val="22"/>
          <w:lang w:val="es-ES_tradnl" w:eastAsia="zh-CN"/>
        </w:rPr>
        <w:t>Como regla general los costes de renovación de las patentes van aumentando con el paso del tiempo. Esto significa que sólo las patentes viables comercialmente hablando son mantenidas por el periodo completo de 20 años.</w:t>
      </w:r>
    </w:p>
    <w:p w14:paraId="3D6FB6F3" w14:textId="77777777" w:rsidR="00B94C98" w:rsidRDefault="00B94C98" w:rsidP="00BB13EE">
      <w:pPr>
        <w:pStyle w:val="NormalWeb"/>
        <w:shd w:val="clear" w:color="auto" w:fill="FFFFFF"/>
        <w:ind w:firstLine="284"/>
        <w:jc w:val="both"/>
      </w:pPr>
      <w:r w:rsidRPr="00BB13EE">
        <w:rPr>
          <w:rFonts w:ascii="Arial" w:eastAsiaTheme="minorEastAsia" w:hAnsi="Arial" w:cs="Arial"/>
          <w:sz w:val="22"/>
          <w:szCs w:val="22"/>
          <w:lang w:val="es-ES_tradnl" w:eastAsia="zh-CN"/>
        </w:rPr>
        <w:t>A modo de ejemplo. Una compañía puede obtener una patente para un</w:t>
      </w:r>
      <w:r w:rsidR="00080EEE" w:rsidRPr="00BB13EE">
        <w:rPr>
          <w:rFonts w:ascii="Arial" w:eastAsiaTheme="minorEastAsia" w:hAnsi="Arial" w:cs="Arial"/>
          <w:sz w:val="22"/>
          <w:szCs w:val="22"/>
          <w:lang w:val="es-ES_tradnl" w:eastAsia="zh-CN"/>
        </w:rPr>
        <w:t>a</w:t>
      </w:r>
      <w:r w:rsidRPr="00BB13EE">
        <w:rPr>
          <w:rFonts w:ascii="Arial" w:eastAsiaTheme="minorEastAsia" w:hAnsi="Arial" w:cs="Arial"/>
          <w:sz w:val="22"/>
          <w:szCs w:val="22"/>
          <w:lang w:val="es-ES_tradnl" w:eastAsia="zh-CN"/>
        </w:rPr>
        <w:t xml:space="preserve"> nuev</w:t>
      </w:r>
      <w:r w:rsidR="00080EEE" w:rsidRPr="00BB13EE">
        <w:rPr>
          <w:rFonts w:ascii="Arial" w:eastAsiaTheme="minorEastAsia" w:hAnsi="Arial" w:cs="Arial"/>
          <w:sz w:val="22"/>
          <w:szCs w:val="22"/>
          <w:lang w:val="es-ES_tradnl" w:eastAsia="zh-CN"/>
        </w:rPr>
        <w:t>a</w:t>
      </w:r>
      <w:r w:rsidRPr="00BB13EE">
        <w:rPr>
          <w:rFonts w:ascii="Arial" w:eastAsiaTheme="minorEastAsia" w:hAnsi="Arial" w:cs="Arial"/>
          <w:sz w:val="22"/>
          <w:szCs w:val="22"/>
          <w:lang w:val="es-ES_tradnl" w:eastAsia="zh-CN"/>
        </w:rPr>
        <w:t xml:space="preserve"> </w:t>
      </w:r>
      <w:r w:rsidR="00080EEE" w:rsidRPr="00BB13EE">
        <w:rPr>
          <w:rFonts w:ascii="Arial" w:eastAsiaTheme="minorEastAsia" w:hAnsi="Arial" w:cs="Arial"/>
          <w:sz w:val="22"/>
          <w:szCs w:val="22"/>
          <w:lang w:val="es-ES_tradnl" w:eastAsia="zh-CN"/>
        </w:rPr>
        <w:t xml:space="preserve">molécula </w:t>
      </w:r>
      <w:r w:rsidRPr="00BB13EE">
        <w:rPr>
          <w:rFonts w:ascii="Arial" w:eastAsiaTheme="minorEastAsia" w:hAnsi="Arial" w:cs="Arial"/>
          <w:sz w:val="22"/>
          <w:szCs w:val="22"/>
          <w:lang w:val="es-ES_tradnl" w:eastAsia="zh-CN"/>
        </w:rPr>
        <w:t xml:space="preserve">que supone una novedad a los tratamientos </w:t>
      </w:r>
      <w:r w:rsidR="00080EEE" w:rsidRPr="00BB13EE">
        <w:rPr>
          <w:rFonts w:ascii="Arial" w:eastAsiaTheme="minorEastAsia" w:hAnsi="Arial" w:cs="Arial"/>
          <w:sz w:val="22"/>
          <w:szCs w:val="22"/>
          <w:lang w:val="es-ES_tradnl" w:eastAsia="zh-CN"/>
        </w:rPr>
        <w:t xml:space="preserve">ya existentes en el mercado. La solicitud de patente incluirá la formulación de la molécula, su composición, su fabricación y ejemplos de su aplicabilidad. La persona que quiera usar esta molécula deberá solicitar a la compañía propietaria de la patente una licencia, normalmente a cambio de un pago. Sin embargo los investigadores del campo se beneficiarán del conocimiento científico que se hace público, que podrán generar las consiguientes investigaciones que llevarán </w:t>
      </w:r>
      <w:r w:rsidR="00BB13EE" w:rsidRPr="00BB13EE">
        <w:rPr>
          <w:rFonts w:ascii="Arial" w:eastAsiaTheme="minorEastAsia" w:hAnsi="Arial" w:cs="Arial"/>
          <w:sz w:val="22"/>
          <w:szCs w:val="22"/>
          <w:lang w:val="es-ES_tradnl" w:eastAsia="zh-CN"/>
        </w:rPr>
        <w:t>a unas moléculas más avanzadas que su vez podrán ser objetos de protección mediante una patente.</w:t>
      </w:r>
    </w:p>
    <w:p w14:paraId="01CA69D7" w14:textId="6A184F52" w:rsidR="007F1875" w:rsidRDefault="007F1875" w:rsidP="00F24C18">
      <w:pPr>
        <w:pStyle w:val="Ttulo2"/>
        <w:rPr>
          <w:lang w:val="es-ES_tradnl"/>
        </w:rPr>
      </w:pPr>
      <w:bookmarkStart w:id="3" w:name="_Toc400525378"/>
      <w:r w:rsidRPr="007F1875">
        <w:rPr>
          <w:lang w:val="es-ES_tradnl"/>
        </w:rPr>
        <w:t>1.</w:t>
      </w:r>
      <w:r w:rsidR="003A04A9">
        <w:rPr>
          <w:lang w:val="es-ES_tradnl"/>
        </w:rPr>
        <w:t>2</w:t>
      </w:r>
      <w:r w:rsidRPr="007F1875">
        <w:rPr>
          <w:lang w:val="es-ES_tradnl"/>
        </w:rPr>
        <w:t xml:space="preserve">. </w:t>
      </w:r>
      <w:r w:rsidR="00BB13EE">
        <w:rPr>
          <w:lang w:val="es-ES_tradnl"/>
        </w:rPr>
        <w:t xml:space="preserve">Patentes en </w:t>
      </w:r>
      <w:r w:rsidRPr="007F1875">
        <w:rPr>
          <w:lang w:val="es-ES_tradnl"/>
        </w:rPr>
        <w:t>España</w:t>
      </w:r>
      <w:bookmarkEnd w:id="3"/>
    </w:p>
    <w:p w14:paraId="4D4AFD40" w14:textId="77777777" w:rsidR="00A41C18" w:rsidRPr="00A41C18" w:rsidRDefault="00A41C18" w:rsidP="00A41C18">
      <w:pPr>
        <w:rPr>
          <w:lang w:val="es-ES_tradnl"/>
        </w:rPr>
      </w:pPr>
    </w:p>
    <w:p w14:paraId="50E2572B" w14:textId="0230BBB3" w:rsidR="00606312" w:rsidRPr="00A41C18" w:rsidRDefault="00A41C18" w:rsidP="00BB13EE">
      <w:pPr>
        <w:ind w:left="0" w:firstLine="360"/>
        <w:rPr>
          <w:rFonts w:cs="Arial"/>
          <w:lang w:val="es-ES"/>
        </w:rPr>
      </w:pPr>
      <w:r w:rsidRPr="00A41C18">
        <w:rPr>
          <w:lang w:val="es-ES"/>
        </w:rPr>
        <w:t xml:space="preserve">Es criterio unánime en todos los países industrializados, que la legislación en materia de patentes influye decisivamente en la organización de la economía, al constituir un </w:t>
      </w:r>
      <w:r w:rsidRPr="00A41C18">
        <w:rPr>
          <w:lang w:val="es-ES"/>
        </w:rPr>
        <w:lastRenderedPageBreak/>
        <w:t>elemento fundamental para impulsar la innovación tecnológica, principio al que no puede sustraerse nuestro país, pues resulta imprescindible para elevar el nivel de competitividad de nuestra industria.</w:t>
      </w:r>
    </w:p>
    <w:p w14:paraId="1636F214" w14:textId="77777777" w:rsidR="00A41C18" w:rsidRDefault="00A41C18" w:rsidP="00606312">
      <w:pPr>
        <w:ind w:left="0" w:firstLine="284"/>
        <w:rPr>
          <w:rFonts w:cs="Arial"/>
          <w:lang w:val="es-ES_tradnl"/>
        </w:rPr>
      </w:pPr>
    </w:p>
    <w:p w14:paraId="54F19A7E" w14:textId="0ED04AB3" w:rsidR="00130663" w:rsidRDefault="00130663" w:rsidP="00BB13EE">
      <w:pPr>
        <w:ind w:left="0" w:firstLine="360"/>
        <w:rPr>
          <w:rFonts w:cs="Arial"/>
          <w:lang w:val="es-ES_tradnl"/>
        </w:rPr>
      </w:pPr>
      <w:r>
        <w:rPr>
          <w:rFonts w:cs="Arial"/>
          <w:lang w:val="es-ES_tradnl"/>
        </w:rPr>
        <w:t>Aunque parece inminente el momento en que esta situación cambie, en la actualidad, todo el sistema de patentes español está basado en la Ley de Patentes 11/1986 de 20 de Marzo</w:t>
      </w:r>
      <w:r w:rsidR="00A41C18">
        <w:rPr>
          <w:rFonts w:cs="Arial"/>
          <w:lang w:val="es-ES_tradnl"/>
        </w:rPr>
        <w:t xml:space="preserve"> que sustituyó a una muy desfasada ley que databa de 1929</w:t>
      </w:r>
      <w:r>
        <w:rPr>
          <w:rFonts w:cs="Arial"/>
          <w:lang w:val="es-ES_tradnl"/>
        </w:rPr>
        <w:t>.</w:t>
      </w:r>
      <w:r w:rsidR="00A41C18">
        <w:rPr>
          <w:rFonts w:cs="Arial"/>
          <w:lang w:val="es-ES_tradnl"/>
        </w:rPr>
        <w:t xml:space="preserve"> Esta ley, aparte de por su más que evidente necesidad de renovación</w:t>
      </w:r>
      <w:r w:rsidR="00A5627F">
        <w:rPr>
          <w:rFonts w:cs="Arial"/>
          <w:lang w:val="es-ES_tradnl"/>
        </w:rPr>
        <w:t>,</w:t>
      </w:r>
      <w:r w:rsidR="00A41C18">
        <w:rPr>
          <w:rFonts w:cs="Arial"/>
          <w:lang w:val="es-ES_tradnl"/>
        </w:rPr>
        <w:t xml:space="preserve"> dada su </w:t>
      </w:r>
      <w:r w:rsidR="00D31B8F">
        <w:rPr>
          <w:rFonts w:cs="Arial"/>
          <w:lang w:val="es-ES_tradnl"/>
        </w:rPr>
        <w:t xml:space="preserve">longevidad, se creó para adecuar la legislación española a la legislación que a nivel europeo había entrado en vigor los años anteriores, es decir, el </w:t>
      </w:r>
      <w:r w:rsidR="00D31B8F" w:rsidRPr="00D31B8F">
        <w:rPr>
          <w:rFonts w:cs="Arial"/>
          <w:lang w:val="es-ES_tradnl"/>
        </w:rPr>
        <w:t>Convenio de Múnich de 5 de octubre de 1973 sobre la Patente Europea, y el Convenio de Luxemburgo sobre la Patente Comunit</w:t>
      </w:r>
      <w:r w:rsidR="00D31B8F">
        <w:rPr>
          <w:rFonts w:cs="Arial"/>
          <w:lang w:val="es-ES_tradnl"/>
        </w:rPr>
        <w:t xml:space="preserve">aria de 15 de diciembre de 1975. </w:t>
      </w:r>
    </w:p>
    <w:p w14:paraId="53C0BA93" w14:textId="77777777" w:rsidR="00130663" w:rsidRDefault="00130663" w:rsidP="007F1875">
      <w:pPr>
        <w:ind w:left="0" w:firstLine="284"/>
        <w:rPr>
          <w:rFonts w:cs="Arial"/>
          <w:lang w:val="es-ES_tradnl"/>
        </w:rPr>
      </w:pPr>
    </w:p>
    <w:p w14:paraId="23C27B56" w14:textId="3A6FFA01" w:rsidR="00DB0028" w:rsidRDefault="00DB0028" w:rsidP="00BB13EE">
      <w:pPr>
        <w:ind w:left="0" w:firstLine="360"/>
        <w:rPr>
          <w:rFonts w:cs="Arial"/>
          <w:lang w:val="es-ES"/>
        </w:rPr>
      </w:pPr>
      <w:r>
        <w:rPr>
          <w:rFonts w:cs="Arial"/>
          <w:lang w:val="es-ES_tradnl"/>
        </w:rPr>
        <w:t>D</w:t>
      </w:r>
      <w:r w:rsidRPr="00DB0028">
        <w:rPr>
          <w:rFonts w:cs="Arial"/>
          <w:lang w:val="es-ES_tradnl"/>
        </w:rPr>
        <w:t>e</w:t>
      </w:r>
      <w:r>
        <w:rPr>
          <w:rFonts w:cs="Arial"/>
          <w:lang w:val="es-ES_tradnl"/>
        </w:rPr>
        <w:t xml:space="preserve"> acuerdo con el art. 4.1 de la Ley de Patentes serán </w:t>
      </w:r>
      <w:r w:rsidRPr="00DB0028">
        <w:rPr>
          <w:rFonts w:cs="Arial"/>
          <w:lang w:val="es-ES"/>
        </w:rPr>
        <w:t xml:space="preserve"> patentables</w:t>
      </w:r>
      <w:r w:rsidR="007F1875">
        <w:rPr>
          <w:rFonts w:cs="Arial"/>
          <w:lang w:val="es-ES"/>
        </w:rPr>
        <w:t xml:space="preserve">, </w:t>
      </w:r>
      <w:r w:rsidR="00D31B8F">
        <w:rPr>
          <w:rFonts w:cs="Arial"/>
          <w:lang w:val="es-ES"/>
        </w:rPr>
        <w:t xml:space="preserve">eso sí, </w:t>
      </w:r>
      <w:r w:rsidR="007F1875">
        <w:rPr>
          <w:rFonts w:cs="Arial"/>
          <w:lang w:val="es-ES"/>
        </w:rPr>
        <w:t>siempre que se paguen las tasas correspondientes en la Oficina Española de Patentes y Marcas</w:t>
      </w:r>
      <w:r w:rsidR="0005296B">
        <w:rPr>
          <w:rFonts w:cs="Arial"/>
          <w:lang w:val="es-ES"/>
        </w:rPr>
        <w:t xml:space="preserve"> (OEPM)</w:t>
      </w:r>
      <w:r w:rsidR="007F1875">
        <w:rPr>
          <w:rFonts w:cs="Arial"/>
          <w:lang w:val="es-ES"/>
        </w:rPr>
        <w:t>,</w:t>
      </w:r>
      <w:r w:rsidRPr="00DB0028">
        <w:rPr>
          <w:rFonts w:cs="Arial"/>
          <w:lang w:val="es-ES"/>
        </w:rPr>
        <w:t xml:space="preserve"> las invenciones nuevas, que impliquen actividad inventiva y sean susceptibles de aplicación industrial</w:t>
      </w:r>
      <w:r>
        <w:rPr>
          <w:rFonts w:cs="Arial"/>
          <w:lang w:val="es-ES"/>
        </w:rPr>
        <w:t>.</w:t>
      </w:r>
      <w:r w:rsidR="007F1875">
        <w:rPr>
          <w:rFonts w:cs="Arial"/>
          <w:lang w:val="es-ES"/>
        </w:rPr>
        <w:t xml:space="preserve"> </w:t>
      </w:r>
      <w:r>
        <w:rPr>
          <w:rFonts w:cs="Arial"/>
          <w:lang w:val="es-ES"/>
        </w:rPr>
        <w:t>De esta definición podemos extraer tres requisitos para que una invención pueda ser protegida por una patente:</w:t>
      </w:r>
    </w:p>
    <w:p w14:paraId="7702553A" w14:textId="77777777" w:rsidR="00DB0028" w:rsidRDefault="00DB0028" w:rsidP="00DB0028">
      <w:pPr>
        <w:ind w:firstLine="284"/>
        <w:rPr>
          <w:rFonts w:cs="Arial"/>
          <w:lang w:val="es-ES"/>
        </w:rPr>
      </w:pPr>
    </w:p>
    <w:p w14:paraId="2F8C7ABF" w14:textId="77777777" w:rsidR="003E4429" w:rsidRDefault="00DB0028" w:rsidP="00606312">
      <w:pPr>
        <w:pStyle w:val="Prrafodelista"/>
        <w:numPr>
          <w:ilvl w:val="0"/>
          <w:numId w:val="16"/>
        </w:numPr>
        <w:ind w:left="284" w:hanging="284"/>
        <w:rPr>
          <w:rFonts w:cs="Arial"/>
          <w:lang w:val="es-ES"/>
        </w:rPr>
      </w:pPr>
      <w:r>
        <w:rPr>
          <w:rFonts w:cs="Arial"/>
          <w:lang w:val="es-ES"/>
        </w:rPr>
        <w:t>Ser novedosa. Por tanto la invención no podrá estar comprendida dentro el estado de la técnica en el momento de la solicitud.</w:t>
      </w:r>
    </w:p>
    <w:p w14:paraId="3B4DC1C9" w14:textId="77777777" w:rsidR="00BB13EE" w:rsidRDefault="00BB13EE" w:rsidP="00BB13EE">
      <w:pPr>
        <w:pStyle w:val="Prrafodelista"/>
        <w:ind w:left="284"/>
        <w:rPr>
          <w:rFonts w:cs="Arial"/>
          <w:lang w:val="es-ES"/>
        </w:rPr>
      </w:pPr>
    </w:p>
    <w:p w14:paraId="3110120A" w14:textId="77777777" w:rsidR="003E4429" w:rsidRDefault="00DB0028" w:rsidP="00606312">
      <w:pPr>
        <w:pStyle w:val="Prrafodelista"/>
        <w:numPr>
          <w:ilvl w:val="0"/>
          <w:numId w:val="16"/>
        </w:numPr>
        <w:ind w:left="284" w:hanging="284"/>
        <w:rPr>
          <w:rFonts w:cs="Arial"/>
          <w:lang w:val="es-ES"/>
        </w:rPr>
      </w:pPr>
      <w:r w:rsidRPr="003E4429">
        <w:rPr>
          <w:rFonts w:cs="Arial"/>
          <w:lang w:val="es-ES"/>
        </w:rPr>
        <w:t xml:space="preserve">Que </w:t>
      </w:r>
      <w:r w:rsidR="008C0D02" w:rsidRPr="003E4429">
        <w:rPr>
          <w:rFonts w:cs="Arial"/>
          <w:lang w:val="es-ES"/>
        </w:rPr>
        <w:t xml:space="preserve">haya supuesto </w:t>
      </w:r>
      <w:r w:rsidR="00BB13EE">
        <w:rPr>
          <w:rFonts w:cs="Arial"/>
          <w:lang w:val="es-ES"/>
        </w:rPr>
        <w:t>una actividad inventiva.</w:t>
      </w:r>
    </w:p>
    <w:p w14:paraId="5090D130" w14:textId="77777777" w:rsidR="00BB13EE" w:rsidRDefault="00BB13EE" w:rsidP="00BB13EE">
      <w:pPr>
        <w:pStyle w:val="Prrafodelista"/>
        <w:ind w:left="284"/>
        <w:rPr>
          <w:rFonts w:cs="Arial"/>
          <w:lang w:val="es-ES"/>
        </w:rPr>
      </w:pPr>
    </w:p>
    <w:p w14:paraId="5EB60A2F" w14:textId="77777777" w:rsidR="00DB0028" w:rsidRPr="003E4429" w:rsidRDefault="00DB0028" w:rsidP="00606312">
      <w:pPr>
        <w:pStyle w:val="Prrafodelista"/>
        <w:numPr>
          <w:ilvl w:val="0"/>
          <w:numId w:val="16"/>
        </w:numPr>
        <w:ind w:left="284" w:hanging="284"/>
        <w:rPr>
          <w:rFonts w:cs="Arial"/>
          <w:lang w:val="es-ES"/>
        </w:rPr>
      </w:pPr>
      <w:r w:rsidRPr="003E4429">
        <w:rPr>
          <w:rFonts w:cs="Arial"/>
          <w:lang w:val="es-ES"/>
        </w:rPr>
        <w:t>Que tenga aplicabilidad industrial.</w:t>
      </w:r>
    </w:p>
    <w:p w14:paraId="08B18E8F" w14:textId="77777777" w:rsidR="009B3D14" w:rsidRDefault="009B3D14" w:rsidP="003E4429">
      <w:pPr>
        <w:rPr>
          <w:rFonts w:cs="Arial"/>
          <w:lang w:val="es-ES"/>
        </w:rPr>
      </w:pPr>
    </w:p>
    <w:p w14:paraId="1EB6C37E" w14:textId="77777777" w:rsidR="00606312" w:rsidRDefault="009B3D14" w:rsidP="00BB13EE">
      <w:pPr>
        <w:ind w:left="0" w:firstLine="360"/>
        <w:rPr>
          <w:rFonts w:cs="Arial"/>
          <w:lang w:val="es-ES"/>
        </w:rPr>
      </w:pPr>
      <w:r>
        <w:rPr>
          <w:rFonts w:cs="Arial"/>
          <w:lang w:val="es-ES"/>
        </w:rPr>
        <w:t>En España esta materia está regulada, en sus aspectos más importantes, por la ya mencionad</w:t>
      </w:r>
      <w:r w:rsidR="00606312">
        <w:rPr>
          <w:rFonts w:cs="Arial"/>
          <w:lang w:val="es-ES"/>
        </w:rPr>
        <w:t>a Ley de P</w:t>
      </w:r>
      <w:r>
        <w:rPr>
          <w:rFonts w:cs="Arial"/>
          <w:lang w:val="es-ES"/>
        </w:rPr>
        <w:t>atentes. Si se cumplen con todos los requisitos exigidos en la ley el solicitante accederá a una protección de su invención dentro del territorio nacional por veinte años improrrogables desde la fecha de la solicitud de la patente (art. 49).</w:t>
      </w:r>
      <w:r w:rsidR="00606312">
        <w:rPr>
          <w:rFonts w:cs="Arial"/>
          <w:lang w:val="es-ES"/>
        </w:rPr>
        <w:t xml:space="preserve"> Los beneficios más destacados de los que gozará el titular son expuestos en el</w:t>
      </w:r>
      <w:r w:rsidR="00D31B8F">
        <w:rPr>
          <w:rFonts w:cs="Arial"/>
          <w:lang w:val="es-ES"/>
        </w:rPr>
        <w:t xml:space="preserve"> art. 50.1 de la Ley</w:t>
      </w:r>
      <w:r w:rsidR="00606312">
        <w:rPr>
          <w:rFonts w:cs="Arial"/>
          <w:lang w:val="es-ES"/>
        </w:rPr>
        <w:t xml:space="preserve"> e impiden a cualquier tercero:</w:t>
      </w:r>
    </w:p>
    <w:p w14:paraId="64766D72" w14:textId="77777777" w:rsidR="00606312" w:rsidRDefault="00606312" w:rsidP="00606312">
      <w:pPr>
        <w:rPr>
          <w:rFonts w:cs="Arial"/>
          <w:lang w:val="es-ES"/>
        </w:rPr>
      </w:pPr>
    </w:p>
    <w:p w14:paraId="2E51A2DB" w14:textId="77777777" w:rsidR="00606312" w:rsidRPr="00606312" w:rsidRDefault="00606312" w:rsidP="00606312">
      <w:pPr>
        <w:pStyle w:val="Prrafodelista"/>
        <w:numPr>
          <w:ilvl w:val="0"/>
          <w:numId w:val="20"/>
        </w:numPr>
        <w:ind w:left="426" w:hanging="426"/>
        <w:rPr>
          <w:rFonts w:cs="Arial"/>
          <w:lang w:val="es-ES"/>
        </w:rPr>
      </w:pPr>
      <w:r w:rsidRPr="00606312">
        <w:rPr>
          <w:rFonts w:cs="Arial"/>
          <w:lang w:val="es-ES"/>
        </w:rPr>
        <w:t>La fabricación, el ofrecimiento, la introducción en el comercio o la utilización de un producto objeto de la patente o la importación o posesión del mismo para alguno de los fines mencionados.</w:t>
      </w:r>
    </w:p>
    <w:p w14:paraId="0CE16961" w14:textId="77777777" w:rsidR="00606312" w:rsidRDefault="00606312" w:rsidP="00606312">
      <w:pPr>
        <w:ind w:left="426" w:hanging="426"/>
        <w:rPr>
          <w:rFonts w:cs="Arial"/>
          <w:lang w:val="es-ES"/>
        </w:rPr>
      </w:pPr>
    </w:p>
    <w:p w14:paraId="3E945C18" w14:textId="77777777" w:rsidR="00606312" w:rsidRPr="00606312" w:rsidRDefault="00606312" w:rsidP="00606312">
      <w:pPr>
        <w:pStyle w:val="Prrafodelista"/>
        <w:numPr>
          <w:ilvl w:val="0"/>
          <w:numId w:val="20"/>
        </w:numPr>
        <w:ind w:left="426" w:hanging="426"/>
        <w:rPr>
          <w:rFonts w:cs="Arial"/>
          <w:lang w:val="es-ES"/>
        </w:rPr>
      </w:pPr>
      <w:r w:rsidRPr="00606312">
        <w:rPr>
          <w:rFonts w:cs="Arial"/>
          <w:lang w:val="es-ES"/>
        </w:rPr>
        <w:t>La utilización de un procedimiento objeto de la patente o el ofrecimiento de dicha utilización, cuando el tercero sabe, o las circunstancias hacen evidente, que la utilización del procedimiento está prohibida sin el consentimiento del titular de la patente.</w:t>
      </w:r>
    </w:p>
    <w:p w14:paraId="5C9DE4DA" w14:textId="77777777" w:rsidR="00606312" w:rsidRDefault="00606312" w:rsidP="00606312">
      <w:pPr>
        <w:ind w:left="426" w:hanging="426"/>
        <w:rPr>
          <w:rFonts w:cs="Arial"/>
          <w:lang w:val="es-ES"/>
        </w:rPr>
      </w:pPr>
    </w:p>
    <w:p w14:paraId="30615AC2" w14:textId="77777777" w:rsidR="00606312" w:rsidRDefault="00606312" w:rsidP="00606312">
      <w:pPr>
        <w:pStyle w:val="Prrafodelista"/>
        <w:numPr>
          <w:ilvl w:val="0"/>
          <w:numId w:val="20"/>
        </w:numPr>
        <w:ind w:left="426" w:hanging="426"/>
        <w:rPr>
          <w:rFonts w:cs="Arial"/>
          <w:lang w:val="es-ES"/>
        </w:rPr>
      </w:pPr>
      <w:r w:rsidRPr="00606312">
        <w:rPr>
          <w:rFonts w:cs="Arial"/>
          <w:lang w:val="es-ES"/>
        </w:rPr>
        <w:t>El ofrecimiento, la introducción en el comercio o la utilización del producto directamente obtenido por el procedimiento objeto de la patente o la importación o posesión de dicho producto para alguno de los fines mencionados.</w:t>
      </w:r>
    </w:p>
    <w:p w14:paraId="21E39CF8" w14:textId="77777777" w:rsidR="00C92040" w:rsidRDefault="00C92040" w:rsidP="00C92040">
      <w:pPr>
        <w:rPr>
          <w:rFonts w:cs="Arial"/>
          <w:lang w:val="es-ES"/>
        </w:rPr>
      </w:pPr>
    </w:p>
    <w:p w14:paraId="34099D6D" w14:textId="780A0A87" w:rsidR="00C92040" w:rsidRDefault="005563CE" w:rsidP="00BB13EE">
      <w:pPr>
        <w:ind w:left="0" w:firstLine="360"/>
        <w:rPr>
          <w:rFonts w:cs="Arial"/>
          <w:lang w:val="es-ES"/>
        </w:rPr>
      </w:pPr>
      <w:r>
        <w:rPr>
          <w:rFonts w:cs="Arial"/>
          <w:lang w:val="es-ES"/>
        </w:rPr>
        <w:t>El titular de la patente, que puede ser el inventor o inventores, sus causahabientes</w:t>
      </w:r>
      <w:r w:rsidR="00CC49AA">
        <w:rPr>
          <w:rFonts w:cs="Arial"/>
          <w:lang w:val="es-ES"/>
        </w:rPr>
        <w:t xml:space="preserve"> o el empresario para el que trabajara el inventor</w:t>
      </w:r>
      <w:r w:rsidR="00EE2702">
        <w:rPr>
          <w:rFonts w:cs="Arial"/>
          <w:lang w:val="es-ES"/>
        </w:rPr>
        <w:t xml:space="preserve"> en el momento de la </w:t>
      </w:r>
      <w:r w:rsidR="0071472C">
        <w:rPr>
          <w:rFonts w:cs="Arial"/>
          <w:lang w:val="es-ES"/>
        </w:rPr>
        <w:t>invención</w:t>
      </w:r>
      <w:r w:rsidR="00EE2702">
        <w:rPr>
          <w:rFonts w:cs="Arial"/>
          <w:lang w:val="es-ES"/>
        </w:rPr>
        <w:t xml:space="preserve">, eso sí, </w:t>
      </w:r>
      <w:r w:rsidR="00CC49AA">
        <w:rPr>
          <w:rFonts w:cs="Arial"/>
          <w:lang w:val="es-ES"/>
        </w:rPr>
        <w:t>siempre que la invención</w:t>
      </w:r>
      <w:r w:rsidR="00EE2702">
        <w:rPr>
          <w:rFonts w:cs="Arial"/>
          <w:lang w:val="es-ES"/>
        </w:rPr>
        <w:t xml:space="preserve"> haya sido hecha</w:t>
      </w:r>
      <w:r w:rsidR="00CC49AA">
        <w:rPr>
          <w:rFonts w:cs="Arial"/>
          <w:lang w:val="es-ES"/>
        </w:rPr>
        <w:t xml:space="preserve"> </w:t>
      </w:r>
      <w:r w:rsidR="00EE2702">
        <w:rPr>
          <w:rFonts w:cs="Arial"/>
          <w:lang w:val="es-ES"/>
        </w:rPr>
        <w:t>conforme a</w:t>
      </w:r>
      <w:r w:rsidR="00CC49AA">
        <w:rPr>
          <w:rFonts w:cs="Arial"/>
          <w:lang w:val="es-ES"/>
        </w:rPr>
        <w:t xml:space="preserve"> los términos de la relación </w:t>
      </w:r>
      <w:r w:rsidR="00EE2702">
        <w:rPr>
          <w:rFonts w:cs="Arial"/>
          <w:lang w:val="es-ES"/>
        </w:rPr>
        <w:t>contractual que le ligue</w:t>
      </w:r>
      <w:r w:rsidR="00CC49AA">
        <w:rPr>
          <w:rFonts w:cs="Arial"/>
          <w:lang w:val="es-ES"/>
        </w:rPr>
        <w:t xml:space="preserve"> con el empresario</w:t>
      </w:r>
      <w:r w:rsidR="00EE2702">
        <w:rPr>
          <w:rFonts w:cs="Arial"/>
          <w:lang w:val="es-ES"/>
        </w:rPr>
        <w:t>.</w:t>
      </w:r>
      <w:r w:rsidR="007F1875">
        <w:rPr>
          <w:rFonts w:cs="Arial"/>
          <w:lang w:val="es-ES"/>
        </w:rPr>
        <w:t xml:space="preserve"> Asimismo el titular podrá transmitir su derecho de patente o solicitud de patente, también podrá conceder una o varias licencias o terceros para la explotación de la misma ya sea en su totalidad o en par</w:t>
      </w:r>
      <w:r w:rsidR="00A5627F">
        <w:rPr>
          <w:rFonts w:cs="Arial"/>
          <w:lang w:val="es-ES"/>
        </w:rPr>
        <w:t>te y con la posibilidad de ser é</w:t>
      </w:r>
      <w:r w:rsidR="007F1875">
        <w:rPr>
          <w:rFonts w:cs="Arial"/>
          <w:lang w:val="es-ES"/>
        </w:rPr>
        <w:t>sta exclusiva.</w:t>
      </w:r>
    </w:p>
    <w:p w14:paraId="6FE93570" w14:textId="77777777" w:rsidR="007F1875" w:rsidRDefault="007F1875" w:rsidP="00C92040">
      <w:pPr>
        <w:rPr>
          <w:rFonts w:cs="Arial"/>
          <w:lang w:val="es-ES"/>
        </w:rPr>
      </w:pPr>
    </w:p>
    <w:p w14:paraId="60B3F788" w14:textId="77777777" w:rsidR="00D31B8F" w:rsidRDefault="007F1875" w:rsidP="00375FE9">
      <w:pPr>
        <w:ind w:left="0" w:firstLine="360"/>
        <w:rPr>
          <w:rFonts w:cs="Arial"/>
          <w:lang w:val="es-ES"/>
        </w:rPr>
      </w:pPr>
      <w:r>
        <w:rPr>
          <w:rFonts w:cs="Arial"/>
          <w:lang w:val="es-ES"/>
        </w:rPr>
        <w:lastRenderedPageBreak/>
        <w:t xml:space="preserve">La </w:t>
      </w:r>
      <w:r w:rsidRPr="007F1875">
        <w:rPr>
          <w:rFonts w:cs="Arial"/>
          <w:lang w:val="es-ES"/>
        </w:rPr>
        <w:t xml:space="preserve">Ley de Patentes es desarrollada por el Real Decreto 2245/1986, de 10 de octubre, por el que se aprueba el </w:t>
      </w:r>
      <w:r w:rsidRPr="007F1875">
        <w:rPr>
          <w:rFonts w:cs="Arial"/>
          <w:bCs/>
          <w:lang w:val="es-ES"/>
        </w:rPr>
        <w:t>Reglamento</w:t>
      </w:r>
      <w:r w:rsidRPr="007F1875">
        <w:rPr>
          <w:rFonts w:cs="Arial"/>
          <w:lang w:val="es-ES"/>
        </w:rPr>
        <w:t xml:space="preserve"> para la ejecución de </w:t>
      </w:r>
      <w:r>
        <w:rPr>
          <w:rFonts w:cs="Arial"/>
          <w:lang w:val="es-ES"/>
        </w:rPr>
        <w:t>la Ley 11/1986. También se ha de tener en cuenta el RD 1270/1997 de 24 de Julio por el que se regula la Oficina Española de Patentes y Marcas.</w:t>
      </w:r>
    </w:p>
    <w:p w14:paraId="732C0155" w14:textId="77777777" w:rsidR="00375FE9" w:rsidRDefault="00375FE9" w:rsidP="00375FE9">
      <w:pPr>
        <w:ind w:left="0" w:firstLine="360"/>
        <w:rPr>
          <w:rFonts w:cs="Arial"/>
          <w:lang w:val="es-ES"/>
        </w:rPr>
      </w:pPr>
    </w:p>
    <w:p w14:paraId="00596A82" w14:textId="76877B77" w:rsidR="00346081" w:rsidRDefault="003A04A9" w:rsidP="00346081">
      <w:pPr>
        <w:pStyle w:val="Ttulo2"/>
        <w:rPr>
          <w:lang w:val="es-ES"/>
        </w:rPr>
      </w:pPr>
      <w:bookmarkStart w:id="4" w:name="_Toc400525379"/>
      <w:r>
        <w:rPr>
          <w:lang w:val="es-ES"/>
        </w:rPr>
        <w:t>1.3</w:t>
      </w:r>
      <w:r w:rsidR="0055623C">
        <w:rPr>
          <w:lang w:val="es-ES"/>
        </w:rPr>
        <w:t xml:space="preserve"> Unión</w:t>
      </w:r>
      <w:r w:rsidR="007F1875">
        <w:rPr>
          <w:lang w:val="es-ES"/>
        </w:rPr>
        <w:t xml:space="preserve"> Europe</w:t>
      </w:r>
      <w:r w:rsidR="00346081">
        <w:rPr>
          <w:lang w:val="es-ES"/>
        </w:rPr>
        <w:t>a</w:t>
      </w:r>
      <w:bookmarkEnd w:id="4"/>
    </w:p>
    <w:p w14:paraId="21E45FF7" w14:textId="77777777" w:rsidR="00346081" w:rsidRPr="00346081" w:rsidRDefault="00346081" w:rsidP="00346081">
      <w:pPr>
        <w:ind w:left="0"/>
        <w:rPr>
          <w:lang w:val="es-ES"/>
        </w:rPr>
      </w:pPr>
    </w:p>
    <w:p w14:paraId="407B60A8" w14:textId="45421584" w:rsidR="00AA1D3F" w:rsidRPr="0042706A" w:rsidRDefault="00AA1D3F" w:rsidP="00375FE9">
      <w:pPr>
        <w:pStyle w:val="Ttulo3"/>
        <w:ind w:left="0"/>
        <w:rPr>
          <w:lang w:val="es-ES"/>
        </w:rPr>
      </w:pPr>
      <w:bookmarkStart w:id="5" w:name="_Toc400525380"/>
      <w:r w:rsidRPr="0042706A">
        <w:rPr>
          <w:lang w:val="es-ES"/>
        </w:rPr>
        <w:t>1.</w:t>
      </w:r>
      <w:r w:rsidR="003A04A9" w:rsidRPr="0042706A">
        <w:rPr>
          <w:lang w:val="es-ES"/>
        </w:rPr>
        <w:t>3</w:t>
      </w:r>
      <w:r w:rsidRPr="0042706A">
        <w:rPr>
          <w:lang w:val="es-ES"/>
        </w:rPr>
        <w:t>.1. La Patente “clásica” Europea</w:t>
      </w:r>
      <w:bookmarkEnd w:id="5"/>
    </w:p>
    <w:p w14:paraId="5837E778" w14:textId="77777777" w:rsidR="00AA1D3F" w:rsidRPr="0042706A" w:rsidRDefault="00AA1D3F" w:rsidP="0055623C">
      <w:pPr>
        <w:ind w:left="0" w:firstLine="360"/>
        <w:rPr>
          <w:rFonts w:cs="Arial"/>
          <w:lang w:val="es-ES"/>
        </w:rPr>
      </w:pPr>
    </w:p>
    <w:p w14:paraId="73B7C9A5" w14:textId="77777777" w:rsidR="00AA1D3F" w:rsidRDefault="00AA1D3F" w:rsidP="00BB13EE">
      <w:pPr>
        <w:ind w:left="0" w:firstLine="360"/>
        <w:rPr>
          <w:rFonts w:cs="Arial"/>
          <w:lang w:val="es-ES"/>
        </w:rPr>
      </w:pPr>
      <w:r w:rsidRPr="00AA1D3F">
        <w:rPr>
          <w:rFonts w:cs="Arial"/>
          <w:lang w:val="es-ES"/>
        </w:rPr>
        <w:t xml:space="preserve">A día de hoy las invenciones pueden </w:t>
      </w:r>
      <w:r>
        <w:rPr>
          <w:rFonts w:cs="Arial"/>
          <w:lang w:val="es-ES"/>
        </w:rPr>
        <w:t>ser protegidas en Europa mediante patentes nacionales otorgadas por la autoridad nacional competente o mediante patentes europeas concedidas de una manera centralizada por la Oficina Europea de Patentes (EPO por sus siglas en inglés).</w:t>
      </w:r>
    </w:p>
    <w:p w14:paraId="6CBFC416" w14:textId="77777777" w:rsidR="00AA1D3F" w:rsidRPr="00AA1D3F" w:rsidRDefault="00AA1D3F" w:rsidP="00AA1D3F">
      <w:pPr>
        <w:ind w:left="0"/>
        <w:rPr>
          <w:rFonts w:cs="Arial"/>
          <w:lang w:val="es-ES"/>
        </w:rPr>
      </w:pPr>
    </w:p>
    <w:p w14:paraId="13D277A8" w14:textId="77777777" w:rsidR="00AA1D3F" w:rsidRPr="00AA1D3F" w:rsidRDefault="00AA1D3F" w:rsidP="00BB13EE">
      <w:pPr>
        <w:ind w:left="0" w:firstLine="360"/>
        <w:rPr>
          <w:rFonts w:cs="Arial"/>
          <w:lang w:val="es-ES"/>
        </w:rPr>
      </w:pPr>
      <w:r w:rsidRPr="00AA1D3F">
        <w:rPr>
          <w:rFonts w:cs="Arial"/>
          <w:lang w:val="es-ES"/>
        </w:rPr>
        <w:t>Los Estados Miembros de la Uni</w:t>
      </w:r>
      <w:r>
        <w:rPr>
          <w:rFonts w:cs="Arial"/>
          <w:lang w:val="es-ES"/>
        </w:rPr>
        <w:t xml:space="preserve">ón tienen sus propias agencias que se encargan de la tramitación y otorgamiento de las patentes nacionales. Sin embargo, la protección que confiere una patente nacional se ve limitada al territorio del estado en cuestión. </w:t>
      </w:r>
    </w:p>
    <w:p w14:paraId="0C451EA8" w14:textId="77777777" w:rsidR="00AA1D3F" w:rsidRPr="0042706A" w:rsidRDefault="00AA1D3F" w:rsidP="00AA1D3F">
      <w:pPr>
        <w:ind w:left="0"/>
        <w:rPr>
          <w:rFonts w:cs="Arial"/>
          <w:lang w:val="es-ES"/>
        </w:rPr>
      </w:pPr>
    </w:p>
    <w:p w14:paraId="52B5D677" w14:textId="468F3F63" w:rsidR="00101518" w:rsidRDefault="00795BF2" w:rsidP="00375FE9">
      <w:pPr>
        <w:ind w:left="0" w:firstLine="360"/>
        <w:rPr>
          <w:rFonts w:cs="Arial"/>
          <w:lang w:val="es-ES"/>
        </w:rPr>
      </w:pPr>
      <w:r>
        <w:rPr>
          <w:noProof/>
          <w:lang w:val="es-ES" w:eastAsia="es-ES"/>
        </w:rPr>
        <mc:AlternateContent>
          <mc:Choice Requires="wps">
            <w:drawing>
              <wp:anchor distT="0" distB="0" distL="114300" distR="114300" simplePos="0" relativeHeight="251641344" behindDoc="0" locked="0" layoutInCell="1" allowOverlap="1" wp14:anchorId="007F8F36" wp14:editId="30DB7561">
                <wp:simplePos x="0" y="0"/>
                <wp:positionH relativeFrom="column">
                  <wp:posOffset>2698115</wp:posOffset>
                </wp:positionH>
                <wp:positionV relativeFrom="paragraph">
                  <wp:posOffset>1877695</wp:posOffset>
                </wp:positionV>
                <wp:extent cx="2676525" cy="635"/>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a:effectLst/>
                      </wps:spPr>
                      <wps:txbx>
                        <w:txbxContent>
                          <w:p w14:paraId="742B920F" w14:textId="0ECE2D7A" w:rsidR="00A5627F" w:rsidRPr="00795BF2" w:rsidRDefault="00A5627F" w:rsidP="00795BF2">
                            <w:pPr>
                              <w:pStyle w:val="Descripcin"/>
                              <w:rPr>
                                <w:rFonts w:cs="Arial"/>
                                <w:lang w:val="es-ES"/>
                              </w:rPr>
                            </w:pPr>
                            <w:bookmarkStart w:id="6" w:name="_Toc400008704"/>
                            <w:bookmarkStart w:id="7" w:name="_Toc400525276"/>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1</w:t>
                            </w:r>
                            <w:r>
                              <w:fldChar w:fldCharType="end"/>
                            </w:r>
                            <w:r w:rsidRPr="00795BF2">
                              <w:rPr>
                                <w:lang w:val="es-ES"/>
                              </w:rPr>
                              <w:t xml:space="preserve"> - </w:t>
                            </w:r>
                            <w:r>
                              <w:rPr>
                                <w:lang w:val="es-ES"/>
                              </w:rPr>
                              <w:t>P</w:t>
                            </w:r>
                            <w:r w:rsidRPr="003A04A9">
                              <w:rPr>
                                <w:lang w:val="es-ES"/>
                              </w:rPr>
                              <w:t>aíses signatarios del Convenio Europeo de Patentes</w:t>
                            </w:r>
                            <w:r>
                              <w:rPr>
                                <w:lang w:val="es-ES"/>
                              </w:rPr>
                              <w:t xml:space="preserve"> de 1973.</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F8F36" id="Cuadro de texto 15" o:spid="_x0000_s1028" type="#_x0000_t202" style="position:absolute;left:0;text-align:left;margin-left:212.45pt;margin-top:147.85pt;width:210.75pt;height:.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" stroked="f">
                <v:textbox style="mso-fit-shape-to-text:t" inset="0,0,0,0">
                  <w:txbxContent>
                    <w:p w14:paraId="742B920F" w14:textId="0ECE2D7A" w:rsidR="00A5627F" w:rsidRPr="00795BF2" w:rsidRDefault="00A5627F" w:rsidP="00795BF2">
                      <w:pPr>
                        <w:pStyle w:val="Descripcin"/>
                        <w:rPr>
                          <w:rFonts w:cs="Arial"/>
                          <w:lang w:val="es-ES"/>
                        </w:rPr>
                      </w:pPr>
                      <w:bookmarkStart w:id="8" w:name="_Toc400008704"/>
                      <w:bookmarkStart w:id="9" w:name="_Toc400525276"/>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1</w:t>
                      </w:r>
                      <w:r>
                        <w:fldChar w:fldCharType="end"/>
                      </w:r>
                      <w:r w:rsidRPr="00795BF2">
                        <w:rPr>
                          <w:lang w:val="es-ES"/>
                        </w:rPr>
                        <w:t xml:space="preserve"> - </w:t>
                      </w:r>
                      <w:r>
                        <w:rPr>
                          <w:lang w:val="es-ES"/>
                        </w:rPr>
                        <w:t>P</w:t>
                      </w:r>
                      <w:r w:rsidRPr="003A04A9">
                        <w:rPr>
                          <w:lang w:val="es-ES"/>
                        </w:rPr>
                        <w:t>aíses signatarios del Convenio Europeo de Patentes</w:t>
                      </w:r>
                      <w:r>
                        <w:rPr>
                          <w:lang w:val="es-ES"/>
                        </w:rPr>
                        <w:t xml:space="preserve"> de 1973.</w:t>
                      </w:r>
                      <w:bookmarkEnd w:id="8"/>
                      <w:bookmarkEnd w:id="9"/>
                    </w:p>
                  </w:txbxContent>
                </v:textbox>
                <w10:wrap type="square"/>
              </v:shape>
            </w:pict>
          </mc:Fallback>
        </mc:AlternateContent>
      </w:r>
      <w:r w:rsidR="00375FE9">
        <w:rPr>
          <w:rFonts w:cs="Arial"/>
          <w:noProof/>
          <w:lang w:val="es-ES" w:eastAsia="es-ES"/>
        </w:rPr>
        <w:drawing>
          <wp:anchor distT="0" distB="0" distL="114300" distR="114300" simplePos="0" relativeHeight="251598336" behindDoc="1" locked="0" layoutInCell="1" allowOverlap="1" wp14:anchorId="3D0EB164" wp14:editId="77B81FDE">
            <wp:simplePos x="0" y="0"/>
            <wp:positionH relativeFrom="column">
              <wp:posOffset>2698115</wp:posOffset>
            </wp:positionH>
            <wp:positionV relativeFrom="paragraph">
              <wp:posOffset>66040</wp:posOffset>
            </wp:positionV>
            <wp:extent cx="2676525" cy="1754505"/>
            <wp:effectExtent l="19050" t="19050" r="28575" b="171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ries of Europ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6525" cy="175450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AA1D3F" w:rsidRPr="00AA1D3F">
        <w:rPr>
          <w:rFonts w:cs="Arial"/>
          <w:lang w:val="es-ES"/>
        </w:rPr>
        <w:t>Si el solicitante escoge la vía de la patente europea</w:t>
      </w:r>
      <w:r w:rsidR="00AA1D3F">
        <w:rPr>
          <w:rFonts w:cs="Arial"/>
          <w:lang w:val="es-ES"/>
        </w:rPr>
        <w:t xml:space="preserve">, la solicitud será tramitada por la EPO, que tiene su sede central en Múnich. La Oficina Europea de Patente es la cabeza visible de la Organización Europea de Patentes, una organización internacional que está conformada por 38 miembros  (Los 27 </w:t>
      </w:r>
      <w:r w:rsidR="00C2469C">
        <w:rPr>
          <w:rFonts w:cs="Arial"/>
          <w:lang w:val="es-ES"/>
        </w:rPr>
        <w:t>Estados</w:t>
      </w:r>
      <w:r w:rsidR="00AA1D3F">
        <w:rPr>
          <w:rFonts w:cs="Arial"/>
          <w:lang w:val="es-ES"/>
        </w:rPr>
        <w:t xml:space="preserve"> </w:t>
      </w:r>
      <w:r w:rsidR="00C2469C">
        <w:rPr>
          <w:rFonts w:cs="Arial"/>
          <w:lang w:val="es-ES"/>
        </w:rPr>
        <w:t>Miembros</w:t>
      </w:r>
      <w:r w:rsidR="00AA1D3F">
        <w:rPr>
          <w:rFonts w:cs="Arial"/>
          <w:lang w:val="es-ES"/>
        </w:rPr>
        <w:t xml:space="preserve"> + otros 11 estados europeos). Esta organización fue cr</w:t>
      </w:r>
      <w:r w:rsidR="00101518">
        <w:rPr>
          <w:rFonts w:cs="Arial"/>
          <w:lang w:val="es-ES"/>
        </w:rPr>
        <w:t>eada en 1973 tras la firma del Convenio Europeo</w:t>
      </w:r>
      <w:r w:rsidR="00AA1D3F">
        <w:rPr>
          <w:rFonts w:cs="Arial"/>
          <w:lang w:val="es-ES"/>
        </w:rPr>
        <w:t xml:space="preserve"> de Patentes</w:t>
      </w:r>
      <w:r w:rsidR="00101518">
        <w:rPr>
          <w:rFonts w:cs="Arial"/>
          <w:lang w:val="es-ES"/>
        </w:rPr>
        <w:t xml:space="preserve"> </w:t>
      </w:r>
      <w:r w:rsidR="00AA1D3F">
        <w:rPr>
          <w:rFonts w:cs="Arial"/>
          <w:lang w:val="es-ES"/>
        </w:rPr>
        <w:t xml:space="preserve"> (</w:t>
      </w:r>
      <w:r w:rsidR="00101518">
        <w:rPr>
          <w:rFonts w:cs="Arial"/>
          <w:lang w:val="es-ES"/>
        </w:rPr>
        <w:t xml:space="preserve">también conocido como Convenio de Múnich o </w:t>
      </w:r>
      <w:r w:rsidR="00AA1D3F">
        <w:rPr>
          <w:rFonts w:cs="Arial"/>
          <w:lang w:val="es-ES"/>
        </w:rPr>
        <w:t>EPC por sus siglas en ingles).</w:t>
      </w:r>
    </w:p>
    <w:p w14:paraId="24F17F5B" w14:textId="77777777" w:rsidR="00AA1D3F" w:rsidRPr="00101518" w:rsidRDefault="00AA1D3F" w:rsidP="00AA1D3F">
      <w:pPr>
        <w:ind w:left="0"/>
        <w:rPr>
          <w:rFonts w:cs="Arial"/>
          <w:lang w:val="es-ES"/>
        </w:rPr>
      </w:pPr>
    </w:p>
    <w:p w14:paraId="5FAF7DA7" w14:textId="77777777" w:rsidR="00AA1D3F" w:rsidRDefault="00101518" w:rsidP="00BB13EE">
      <w:pPr>
        <w:ind w:left="0" w:firstLine="360"/>
        <w:rPr>
          <w:rFonts w:cs="Arial"/>
          <w:lang w:val="es-ES"/>
        </w:rPr>
      </w:pPr>
      <w:r>
        <w:rPr>
          <w:rFonts w:cs="Arial"/>
          <w:lang w:val="es-ES"/>
        </w:rPr>
        <w:t>El</w:t>
      </w:r>
      <w:r w:rsidR="00AA1D3F" w:rsidRPr="00AA1D3F">
        <w:rPr>
          <w:rFonts w:cs="Arial"/>
          <w:lang w:val="es-ES"/>
        </w:rPr>
        <w:t xml:space="preserve"> EPC establece un único procedimiento para acceder a la protección mediante patente en Europa. </w:t>
      </w:r>
      <w:r w:rsidR="00AA1D3F">
        <w:rPr>
          <w:rFonts w:cs="Arial"/>
          <w:lang w:val="es-ES"/>
        </w:rPr>
        <w:t xml:space="preserve">Mediante una sola solicitud de patente que tiene que ser presentada en una de las tres lenguas oficiales de la EPO (inglés, francés, o alemán), inventores y empresas pueden acceder a las patentes europeas. </w:t>
      </w:r>
    </w:p>
    <w:p w14:paraId="6A746754" w14:textId="77777777" w:rsidR="00AA1D3F" w:rsidRDefault="00AA1D3F" w:rsidP="00AA1D3F">
      <w:pPr>
        <w:ind w:left="0"/>
        <w:rPr>
          <w:rFonts w:cs="Arial"/>
          <w:lang w:val="es-ES"/>
        </w:rPr>
      </w:pPr>
    </w:p>
    <w:p w14:paraId="0EACDE6E" w14:textId="77777777" w:rsidR="00AA1D3F" w:rsidRDefault="00AA1D3F" w:rsidP="00410B8F">
      <w:pPr>
        <w:ind w:left="0" w:firstLine="360"/>
        <w:rPr>
          <w:rFonts w:cs="Arial"/>
          <w:lang w:val="es-ES"/>
        </w:rPr>
      </w:pPr>
      <w:r>
        <w:rPr>
          <w:rFonts w:cs="Arial"/>
          <w:lang w:val="es-ES"/>
        </w:rPr>
        <w:t>Sin embargo el hecho de conceder una patente no es suficiente para que esta tenga efecto en la mayoría de los estados signatarios de la Organización Europea de Patentes. El propietario de la patente deberá elegir los países donde desee estar protegido y validar la patente europea en esos países un breve periodo de tiempo tras la obtención de la misma.</w:t>
      </w:r>
      <w:r w:rsidR="00101518">
        <w:rPr>
          <w:rFonts w:cs="Arial"/>
          <w:lang w:val="es-ES"/>
        </w:rPr>
        <w:t xml:space="preserve"> Los propietarios de la patentes se enfrentan, eso sí, a una gran variedad de requisitos para obtener la validación en estos países, como, por ejemplo, pagar las tasas de las correspondientes oficinas nacionales de patentes, cumplir con todos los requisitos de forma y presentar una traducción de los documentos de la patente a la lengua oficial de Estado en cuestión.</w:t>
      </w:r>
    </w:p>
    <w:p w14:paraId="18DDDE6E" w14:textId="77777777" w:rsidR="00375FE9" w:rsidRDefault="00375FE9" w:rsidP="00375FE9">
      <w:pPr>
        <w:ind w:left="0"/>
        <w:rPr>
          <w:rFonts w:cs="Arial"/>
          <w:lang w:val="es-ES"/>
        </w:rPr>
      </w:pPr>
    </w:p>
    <w:p w14:paraId="422674B1" w14:textId="272F8A35" w:rsidR="00375FE9" w:rsidRDefault="00150CA5" w:rsidP="00410B8F">
      <w:pPr>
        <w:ind w:left="0" w:firstLine="360"/>
        <w:rPr>
          <w:rFonts w:cs="Arial"/>
          <w:lang w:val="es-ES"/>
        </w:rPr>
      </w:pPr>
      <w:r>
        <w:rPr>
          <w:noProof/>
          <w:lang w:val="es-ES" w:eastAsia="es-ES"/>
        </w:rPr>
        <w:lastRenderedPageBreak/>
        <mc:AlternateContent>
          <mc:Choice Requires="wps">
            <w:drawing>
              <wp:anchor distT="0" distB="0" distL="114300" distR="114300" simplePos="0" relativeHeight="251600384" behindDoc="1" locked="0" layoutInCell="1" allowOverlap="1" wp14:anchorId="77987A55" wp14:editId="14B0EC88">
                <wp:simplePos x="0" y="0"/>
                <wp:positionH relativeFrom="column">
                  <wp:posOffset>2291715</wp:posOffset>
                </wp:positionH>
                <wp:positionV relativeFrom="paragraph">
                  <wp:posOffset>2097405</wp:posOffset>
                </wp:positionV>
                <wp:extent cx="3016250" cy="635"/>
                <wp:effectExtent l="0" t="0" r="0" b="5715"/>
                <wp:wrapTight wrapText="bothSides">
                  <wp:wrapPolygon edited="0">
                    <wp:start x="0" y="0"/>
                    <wp:lineTo x="0" y="20870"/>
                    <wp:lineTo x="21418" y="20870"/>
                    <wp:lineTo x="21418" y="0"/>
                    <wp:lineTo x="0" y="0"/>
                  </wp:wrapPolygon>
                </wp:wrapTight>
                <wp:docPr id="10" name="Cuadro de texto 10"/>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a:effectLst/>
                      </wps:spPr>
                      <wps:txbx>
                        <w:txbxContent>
                          <w:p w14:paraId="44159EEB" w14:textId="4167D956" w:rsidR="00A5627F" w:rsidRPr="00375FE9" w:rsidRDefault="00A5627F" w:rsidP="00795BF2">
                            <w:pPr>
                              <w:pStyle w:val="Descripcin"/>
                              <w:jc w:val="center"/>
                              <w:rPr>
                                <w:rFonts w:cs="Arial"/>
                                <w:lang w:val="es-ES"/>
                              </w:rPr>
                            </w:pPr>
                            <w:bookmarkStart w:id="10" w:name="_Toc399754052"/>
                            <w:bookmarkStart w:id="11" w:name="_Toc400008705"/>
                            <w:bookmarkStart w:id="12" w:name="_Toc400525277"/>
                            <w:r w:rsidRPr="00375FE9">
                              <w:rPr>
                                <w:lang w:val="es-ES"/>
                              </w:rPr>
                              <w:t xml:space="preserve">Ilustración </w:t>
                            </w:r>
                            <w:r>
                              <w:rPr>
                                <w:lang w:val="es-ES"/>
                              </w:rPr>
                              <w:fldChar w:fldCharType="begin"/>
                            </w:r>
                            <w:r>
                              <w:rPr>
                                <w:lang w:val="es-ES"/>
                              </w:rPr>
                              <w:instrText xml:space="preserve"> SEQ Ilustración \* ARABIC </w:instrText>
                            </w:r>
                            <w:r>
                              <w:rPr>
                                <w:lang w:val="es-ES"/>
                              </w:rPr>
                              <w:fldChar w:fldCharType="separate"/>
                            </w:r>
                            <w:r w:rsidR="0099684C">
                              <w:rPr>
                                <w:noProof/>
                                <w:lang w:val="es-ES"/>
                              </w:rPr>
                              <w:t>2</w:t>
                            </w:r>
                            <w:r>
                              <w:rPr>
                                <w:lang w:val="es-ES"/>
                              </w:rPr>
                              <w:fldChar w:fldCharType="end"/>
                            </w:r>
                            <w:r w:rsidRPr="00375FE9">
                              <w:rPr>
                                <w:lang w:val="es-ES"/>
                              </w:rPr>
                              <w:t xml:space="preserve"> </w:t>
                            </w:r>
                            <w:r>
                              <w:rPr>
                                <w:lang w:val="es-ES"/>
                              </w:rPr>
                              <w:t>–</w:t>
                            </w:r>
                            <w:r w:rsidRPr="00375FE9">
                              <w:rPr>
                                <w:lang w:val="es-ES"/>
                              </w:rPr>
                              <w:t xml:space="preserve"> </w:t>
                            </w:r>
                            <w:r>
                              <w:rPr>
                                <w:lang w:val="es-ES"/>
                              </w:rPr>
                              <w:t>Porcentaje de p</w:t>
                            </w:r>
                            <w:r w:rsidRPr="00375FE9">
                              <w:rPr>
                                <w:lang w:val="es-ES"/>
                              </w:rPr>
                              <w:t>atentes concedidas por la EPO en 2013 según el país de residencia del patentado</w:t>
                            </w:r>
                            <w:bookmarkEnd w:id="10"/>
                            <w:r>
                              <w:rPr>
                                <w:lang w:val="es-ES"/>
                              </w:rPr>
                              <w:t>.</w:t>
                            </w:r>
                            <w:bookmarkEnd w:id="11"/>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987A55" id="Cuadro de texto 10" o:spid="_x0000_s1029" type="#_x0000_t202" style="position:absolute;left:0;text-align:left;margin-left:180.45pt;margin-top:165.15pt;width:237.5pt;height:.0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" stroked="f">
                <v:textbox style="mso-fit-shape-to-text:t" inset="0,0,0,0">
                  <w:txbxContent>
                    <w:p w14:paraId="44159EEB" w14:textId="4167D956" w:rsidR="00A5627F" w:rsidRPr="00375FE9" w:rsidRDefault="00A5627F" w:rsidP="00795BF2">
                      <w:pPr>
                        <w:pStyle w:val="Descripcin"/>
                        <w:jc w:val="center"/>
                        <w:rPr>
                          <w:rFonts w:cs="Arial"/>
                          <w:lang w:val="es-ES"/>
                        </w:rPr>
                      </w:pPr>
                      <w:bookmarkStart w:id="13" w:name="_Toc399754052"/>
                      <w:bookmarkStart w:id="14" w:name="_Toc400008705"/>
                      <w:bookmarkStart w:id="15" w:name="_Toc400525277"/>
                      <w:r w:rsidRPr="00375FE9">
                        <w:rPr>
                          <w:lang w:val="es-ES"/>
                        </w:rPr>
                        <w:t xml:space="preserve">Ilustración </w:t>
                      </w:r>
                      <w:r>
                        <w:rPr>
                          <w:lang w:val="es-ES"/>
                        </w:rPr>
                        <w:fldChar w:fldCharType="begin"/>
                      </w:r>
                      <w:r>
                        <w:rPr>
                          <w:lang w:val="es-ES"/>
                        </w:rPr>
                        <w:instrText xml:space="preserve"> SEQ Ilustración \* ARABIC </w:instrText>
                      </w:r>
                      <w:r>
                        <w:rPr>
                          <w:lang w:val="es-ES"/>
                        </w:rPr>
                        <w:fldChar w:fldCharType="separate"/>
                      </w:r>
                      <w:r w:rsidR="0099684C">
                        <w:rPr>
                          <w:noProof/>
                          <w:lang w:val="es-ES"/>
                        </w:rPr>
                        <w:t>2</w:t>
                      </w:r>
                      <w:r>
                        <w:rPr>
                          <w:lang w:val="es-ES"/>
                        </w:rPr>
                        <w:fldChar w:fldCharType="end"/>
                      </w:r>
                      <w:r w:rsidRPr="00375FE9">
                        <w:rPr>
                          <w:lang w:val="es-ES"/>
                        </w:rPr>
                        <w:t xml:space="preserve"> </w:t>
                      </w:r>
                      <w:r>
                        <w:rPr>
                          <w:lang w:val="es-ES"/>
                        </w:rPr>
                        <w:t>–</w:t>
                      </w:r>
                      <w:r w:rsidRPr="00375FE9">
                        <w:rPr>
                          <w:lang w:val="es-ES"/>
                        </w:rPr>
                        <w:t xml:space="preserve"> </w:t>
                      </w:r>
                      <w:r>
                        <w:rPr>
                          <w:lang w:val="es-ES"/>
                        </w:rPr>
                        <w:t>Porcentaje de p</w:t>
                      </w:r>
                      <w:r w:rsidRPr="00375FE9">
                        <w:rPr>
                          <w:lang w:val="es-ES"/>
                        </w:rPr>
                        <w:t>atentes concedidas por la EPO en 2013 según el país de residencia del patentado</w:t>
                      </w:r>
                      <w:bookmarkEnd w:id="13"/>
                      <w:r>
                        <w:rPr>
                          <w:lang w:val="es-ES"/>
                        </w:rPr>
                        <w:t>.</w:t>
                      </w:r>
                      <w:bookmarkEnd w:id="14"/>
                      <w:bookmarkEnd w:id="15"/>
                    </w:p>
                  </w:txbxContent>
                </v:textbox>
                <w10:wrap type="tight"/>
              </v:shape>
            </w:pict>
          </mc:Fallback>
        </mc:AlternateContent>
      </w:r>
      <w:r w:rsidRPr="00375FE9">
        <w:rPr>
          <w:rFonts w:cs="Arial"/>
          <w:noProof/>
          <w:lang w:val="es-ES" w:eastAsia="es-ES"/>
        </w:rPr>
        <w:drawing>
          <wp:anchor distT="0" distB="0" distL="114300" distR="114300" simplePos="0" relativeHeight="251599360" behindDoc="0" locked="0" layoutInCell="1" allowOverlap="1" wp14:anchorId="422DA260" wp14:editId="0A7DBF45">
            <wp:simplePos x="0" y="0"/>
            <wp:positionH relativeFrom="column">
              <wp:posOffset>2285365</wp:posOffset>
            </wp:positionH>
            <wp:positionV relativeFrom="paragraph">
              <wp:posOffset>40005</wp:posOffset>
            </wp:positionV>
            <wp:extent cx="2997200" cy="1969770"/>
            <wp:effectExtent l="19050" t="19050" r="12700" b="11430"/>
            <wp:wrapSquare wrapText="bothSides"/>
            <wp:docPr id="9" name="Imagen 9" descr="http://upload.wikimedia.org/wikipedia/en/thumb/d/df/Granted_EP_patents_2013_per_country_of_residence_of_the_applicant.svg/488px-Granted_EP_patents_2013_per_country_of_residence_of_the_applicant.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en/thumb/d/df/Granted_EP_patents_2013_per_country_of_residence_of_the_applicant.svg/488px-Granted_EP_patents_2013_per_country_of_residence_of_the_applicant.svg.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200" cy="196977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375FE9">
        <w:rPr>
          <w:rFonts w:cs="Arial"/>
          <w:lang w:val="es-ES"/>
        </w:rPr>
        <w:t>La EPO concede, también, patentes europeas a solicitantes de países que no son miembros de la Organización Europea de Patentes. La Oficina Europea de Patentes copera con la Oficina de los Estados Unidos de Patentes y Marcas (USPTO) la Oficina Japonesa de Patentes (JPO), la Oficina de Propiedad Intelectual Coreana (KIPO) y la Oficina de Propiedad Intelectual de la República Popular de China (SIPO) en un sistema cooperativo conocido como “las cinco oficinas de propiedad intelectual” o “IP5”.</w:t>
      </w:r>
    </w:p>
    <w:p w14:paraId="75A895A2" w14:textId="1BC9F180" w:rsidR="00410B8F" w:rsidRPr="00410B8F" w:rsidRDefault="00410B8F" w:rsidP="00410B8F">
      <w:pPr>
        <w:pStyle w:val="Descripcin"/>
        <w:keepNext/>
        <w:jc w:val="center"/>
        <w:rPr>
          <w:lang w:val="es-ES"/>
        </w:rPr>
      </w:pPr>
      <w:r w:rsidRPr="00D32546">
        <w:rPr>
          <w:sz w:val="16"/>
          <w:szCs w:val="16"/>
          <w:lang w:val="es-ES"/>
        </w:rPr>
        <w:t xml:space="preserve">Tabla </w:t>
      </w:r>
      <w:r w:rsidRPr="00D32546">
        <w:rPr>
          <w:sz w:val="16"/>
          <w:szCs w:val="16"/>
        </w:rPr>
        <w:fldChar w:fldCharType="begin"/>
      </w:r>
      <w:r w:rsidRPr="00D32546">
        <w:rPr>
          <w:sz w:val="16"/>
          <w:szCs w:val="16"/>
          <w:lang w:val="es-ES"/>
        </w:rPr>
        <w:instrText xml:space="preserve"> SEQ Tabla \* ARABIC </w:instrText>
      </w:r>
      <w:r w:rsidRPr="00D32546">
        <w:rPr>
          <w:sz w:val="16"/>
          <w:szCs w:val="16"/>
        </w:rPr>
        <w:fldChar w:fldCharType="separate"/>
      </w:r>
      <w:r w:rsidR="0099684C">
        <w:rPr>
          <w:noProof/>
          <w:sz w:val="16"/>
          <w:szCs w:val="16"/>
          <w:lang w:val="es-ES"/>
        </w:rPr>
        <w:t>1</w:t>
      </w:r>
      <w:r w:rsidRPr="00D32546">
        <w:rPr>
          <w:sz w:val="16"/>
          <w:szCs w:val="16"/>
        </w:rPr>
        <w:fldChar w:fldCharType="end"/>
      </w:r>
      <w:r w:rsidRPr="00D32546">
        <w:rPr>
          <w:sz w:val="16"/>
          <w:szCs w:val="16"/>
          <w:lang w:val="es-ES"/>
        </w:rPr>
        <w:t xml:space="preserve"> - Número de patentes concedidas por la EPO durante el periodo 2004 – 2013.</w:t>
      </w:r>
      <w:r w:rsidR="00D32546" w:rsidRPr="00D32546">
        <w:rPr>
          <w:sz w:val="16"/>
          <w:szCs w:val="16"/>
          <w:lang w:val="es-ES"/>
        </w:rPr>
        <w:t xml:space="preserve"> Fuente:</w:t>
      </w:r>
      <w:r w:rsidR="00D32546">
        <w:rPr>
          <w:lang w:val="es-ES"/>
        </w:rPr>
        <w:t xml:space="preserve"> </w:t>
      </w:r>
      <w:r w:rsidR="00D32546" w:rsidRPr="00D32546">
        <w:rPr>
          <w:sz w:val="16"/>
          <w:szCs w:val="16"/>
          <w:lang w:val="es-ES"/>
        </w:rPr>
        <w:t>EPO.</w:t>
      </w:r>
    </w:p>
    <w:tbl>
      <w:tblPr>
        <w:tblpPr w:leftFromText="141" w:rightFromText="141" w:vertAnchor="text" w:horzAnchor="margin" w:tblpY="-21"/>
        <w:tblW w:w="5000" w:type="pct"/>
        <w:tblCellMar>
          <w:left w:w="70" w:type="dxa"/>
          <w:right w:w="70" w:type="dxa"/>
        </w:tblCellMar>
        <w:tblLook w:val="04A0" w:firstRow="1" w:lastRow="0" w:firstColumn="1" w:lastColumn="0" w:noHBand="0" w:noVBand="1"/>
      </w:tblPr>
      <w:tblGrid>
        <w:gridCol w:w="2081"/>
        <w:gridCol w:w="641"/>
        <w:gridCol w:w="641"/>
        <w:gridCol w:w="641"/>
        <w:gridCol w:w="639"/>
        <w:gridCol w:w="639"/>
        <w:gridCol w:w="639"/>
        <w:gridCol w:w="639"/>
        <w:gridCol w:w="639"/>
        <w:gridCol w:w="639"/>
        <w:gridCol w:w="637"/>
      </w:tblGrid>
      <w:tr w:rsidR="00410B8F" w:rsidRPr="00410B8F" w14:paraId="4F6AD447" w14:textId="77777777" w:rsidTr="00410B8F">
        <w:trPr>
          <w:trHeight w:val="310"/>
        </w:trPr>
        <w:tc>
          <w:tcPr>
            <w:tcW w:w="1228" w:type="pct"/>
            <w:tcBorders>
              <w:top w:val="single" w:sz="12" w:space="0" w:color="1CADE4" w:themeColor="accent1"/>
              <w:left w:val="single" w:sz="12" w:space="0" w:color="1CADE4" w:themeColor="accent1"/>
              <w:bottom w:val="single" w:sz="12" w:space="0" w:color="1CADE4" w:themeColor="accent1"/>
              <w:right w:val="single" w:sz="12" w:space="0" w:color="1CADE4" w:themeColor="accent1"/>
            </w:tcBorders>
            <w:shd w:val="clear" w:color="auto" w:fill="FF0000"/>
            <w:noWrap/>
            <w:vAlign w:val="bottom"/>
          </w:tcPr>
          <w:p w14:paraId="0C4873C6" w14:textId="77777777" w:rsidR="00410B8F" w:rsidRDefault="00410B8F" w:rsidP="00D54ECD">
            <w:pPr>
              <w:ind w:left="0"/>
              <w:jc w:val="center"/>
              <w:rPr>
                <w:sz w:val="18"/>
                <w:szCs w:val="18"/>
                <w:lang w:val="es-ES"/>
              </w:rPr>
            </w:pPr>
          </w:p>
        </w:tc>
        <w:tc>
          <w:tcPr>
            <w:tcW w:w="378" w:type="pct"/>
            <w:tcBorders>
              <w:top w:val="single" w:sz="12" w:space="0" w:color="1CADE4" w:themeColor="accent1"/>
              <w:left w:val="single" w:sz="12" w:space="0" w:color="1CADE4" w:themeColor="accent1"/>
              <w:bottom w:val="single" w:sz="12" w:space="0" w:color="1CADE4" w:themeColor="accent1"/>
              <w:right w:val="single" w:sz="4" w:space="0" w:color="auto"/>
            </w:tcBorders>
            <w:shd w:val="clear" w:color="auto" w:fill="auto"/>
            <w:noWrap/>
            <w:vAlign w:val="bottom"/>
          </w:tcPr>
          <w:p w14:paraId="528E237B" w14:textId="77777777" w:rsidR="00410B8F" w:rsidRPr="00410B8F" w:rsidRDefault="00410B8F" w:rsidP="00D54ECD">
            <w:pPr>
              <w:ind w:left="0"/>
              <w:jc w:val="center"/>
              <w:rPr>
                <w:sz w:val="18"/>
                <w:szCs w:val="18"/>
                <w:lang w:val="es-ES"/>
              </w:rPr>
            </w:pPr>
            <w:r w:rsidRPr="00410B8F">
              <w:rPr>
                <w:rFonts w:cs="Arial"/>
                <w:color w:val="000000"/>
                <w:sz w:val="18"/>
                <w:szCs w:val="18"/>
              </w:rPr>
              <w:t>2004</w:t>
            </w:r>
          </w:p>
        </w:tc>
        <w:tc>
          <w:tcPr>
            <w:tcW w:w="378" w:type="pct"/>
            <w:tcBorders>
              <w:top w:val="single" w:sz="12" w:space="0" w:color="1CADE4" w:themeColor="accent1"/>
              <w:left w:val="nil"/>
              <w:bottom w:val="single" w:sz="12" w:space="0" w:color="1CADE4" w:themeColor="accent1"/>
              <w:right w:val="single" w:sz="4" w:space="0" w:color="auto"/>
            </w:tcBorders>
            <w:shd w:val="clear" w:color="auto" w:fill="auto"/>
            <w:noWrap/>
            <w:vAlign w:val="bottom"/>
          </w:tcPr>
          <w:p w14:paraId="31F41A7F" w14:textId="77777777" w:rsidR="00410B8F" w:rsidRPr="00410B8F" w:rsidRDefault="00410B8F" w:rsidP="00D54ECD">
            <w:pPr>
              <w:ind w:left="0"/>
              <w:jc w:val="center"/>
              <w:rPr>
                <w:sz w:val="18"/>
                <w:szCs w:val="18"/>
                <w:lang w:val="es-ES"/>
              </w:rPr>
            </w:pPr>
            <w:r w:rsidRPr="00410B8F">
              <w:rPr>
                <w:rFonts w:cs="Arial"/>
                <w:color w:val="000000"/>
                <w:sz w:val="18"/>
                <w:szCs w:val="18"/>
              </w:rPr>
              <w:t>2005</w:t>
            </w:r>
          </w:p>
        </w:tc>
        <w:tc>
          <w:tcPr>
            <w:tcW w:w="378" w:type="pct"/>
            <w:tcBorders>
              <w:top w:val="single" w:sz="12" w:space="0" w:color="1CADE4" w:themeColor="accent1"/>
              <w:left w:val="nil"/>
              <w:bottom w:val="single" w:sz="12" w:space="0" w:color="1CADE4" w:themeColor="accent1"/>
              <w:right w:val="single" w:sz="4" w:space="0" w:color="auto"/>
            </w:tcBorders>
            <w:shd w:val="clear" w:color="auto" w:fill="auto"/>
            <w:noWrap/>
            <w:vAlign w:val="bottom"/>
          </w:tcPr>
          <w:p w14:paraId="7CA95ACA" w14:textId="77777777" w:rsidR="00410B8F" w:rsidRPr="00410B8F" w:rsidRDefault="00410B8F" w:rsidP="00D54ECD">
            <w:pPr>
              <w:ind w:left="0"/>
              <w:jc w:val="center"/>
              <w:rPr>
                <w:sz w:val="18"/>
                <w:szCs w:val="18"/>
                <w:lang w:val="es-ES"/>
              </w:rPr>
            </w:pPr>
            <w:r w:rsidRPr="00410B8F">
              <w:rPr>
                <w:rFonts w:cs="Arial"/>
                <w:color w:val="000000"/>
                <w:sz w:val="18"/>
                <w:szCs w:val="18"/>
              </w:rPr>
              <w:t>2006</w:t>
            </w:r>
          </w:p>
        </w:tc>
        <w:tc>
          <w:tcPr>
            <w:tcW w:w="377" w:type="pct"/>
            <w:tcBorders>
              <w:top w:val="single" w:sz="12" w:space="0" w:color="1CADE4" w:themeColor="accent1"/>
              <w:left w:val="nil"/>
              <w:bottom w:val="single" w:sz="12" w:space="0" w:color="1CADE4" w:themeColor="accent1"/>
              <w:right w:val="single" w:sz="4" w:space="0" w:color="auto"/>
            </w:tcBorders>
            <w:shd w:val="clear" w:color="auto" w:fill="auto"/>
            <w:noWrap/>
            <w:vAlign w:val="bottom"/>
          </w:tcPr>
          <w:p w14:paraId="080D03BA" w14:textId="77777777" w:rsidR="00410B8F" w:rsidRPr="00410B8F" w:rsidRDefault="00410B8F" w:rsidP="00D54ECD">
            <w:pPr>
              <w:ind w:left="0"/>
              <w:jc w:val="center"/>
              <w:rPr>
                <w:sz w:val="18"/>
                <w:szCs w:val="18"/>
                <w:lang w:val="es-ES"/>
              </w:rPr>
            </w:pPr>
            <w:r w:rsidRPr="00410B8F">
              <w:rPr>
                <w:rFonts w:cs="Arial"/>
                <w:color w:val="000000"/>
                <w:sz w:val="18"/>
                <w:szCs w:val="18"/>
              </w:rPr>
              <w:t>2007</w:t>
            </w:r>
          </w:p>
        </w:tc>
        <w:tc>
          <w:tcPr>
            <w:tcW w:w="377" w:type="pct"/>
            <w:tcBorders>
              <w:top w:val="single" w:sz="12" w:space="0" w:color="1CADE4" w:themeColor="accent1"/>
              <w:left w:val="nil"/>
              <w:bottom w:val="single" w:sz="12" w:space="0" w:color="1CADE4" w:themeColor="accent1"/>
              <w:right w:val="single" w:sz="4" w:space="0" w:color="auto"/>
            </w:tcBorders>
            <w:shd w:val="clear" w:color="auto" w:fill="auto"/>
            <w:noWrap/>
            <w:vAlign w:val="bottom"/>
          </w:tcPr>
          <w:p w14:paraId="7654B249" w14:textId="77777777" w:rsidR="00410B8F" w:rsidRPr="00410B8F" w:rsidRDefault="00410B8F" w:rsidP="00D54ECD">
            <w:pPr>
              <w:ind w:left="0"/>
              <w:jc w:val="center"/>
              <w:rPr>
                <w:sz w:val="18"/>
                <w:szCs w:val="18"/>
                <w:lang w:val="es-ES"/>
              </w:rPr>
            </w:pPr>
            <w:r w:rsidRPr="00410B8F">
              <w:rPr>
                <w:rFonts w:cs="Arial"/>
                <w:color w:val="000000"/>
                <w:sz w:val="18"/>
                <w:szCs w:val="18"/>
              </w:rPr>
              <w:t>2008</w:t>
            </w:r>
          </w:p>
        </w:tc>
        <w:tc>
          <w:tcPr>
            <w:tcW w:w="377" w:type="pct"/>
            <w:tcBorders>
              <w:top w:val="single" w:sz="12" w:space="0" w:color="1CADE4" w:themeColor="accent1"/>
              <w:left w:val="nil"/>
              <w:bottom w:val="single" w:sz="12" w:space="0" w:color="1CADE4" w:themeColor="accent1"/>
              <w:right w:val="single" w:sz="4" w:space="0" w:color="auto"/>
            </w:tcBorders>
            <w:shd w:val="clear" w:color="auto" w:fill="auto"/>
            <w:noWrap/>
            <w:vAlign w:val="bottom"/>
          </w:tcPr>
          <w:p w14:paraId="2A4891CF" w14:textId="77777777" w:rsidR="00410B8F" w:rsidRPr="00410B8F" w:rsidRDefault="00410B8F" w:rsidP="00D54ECD">
            <w:pPr>
              <w:ind w:left="0"/>
              <w:jc w:val="center"/>
              <w:rPr>
                <w:sz w:val="18"/>
                <w:szCs w:val="18"/>
                <w:lang w:val="es-ES"/>
              </w:rPr>
            </w:pPr>
            <w:r w:rsidRPr="00410B8F">
              <w:rPr>
                <w:rFonts w:cs="Arial"/>
                <w:color w:val="000000"/>
                <w:sz w:val="18"/>
                <w:szCs w:val="18"/>
              </w:rPr>
              <w:t>2009</w:t>
            </w:r>
          </w:p>
        </w:tc>
        <w:tc>
          <w:tcPr>
            <w:tcW w:w="377" w:type="pct"/>
            <w:tcBorders>
              <w:top w:val="single" w:sz="12" w:space="0" w:color="1CADE4" w:themeColor="accent1"/>
              <w:left w:val="nil"/>
              <w:bottom w:val="single" w:sz="12" w:space="0" w:color="1CADE4" w:themeColor="accent1"/>
              <w:right w:val="single" w:sz="4" w:space="0" w:color="auto"/>
            </w:tcBorders>
            <w:shd w:val="clear" w:color="auto" w:fill="auto"/>
            <w:noWrap/>
            <w:vAlign w:val="bottom"/>
          </w:tcPr>
          <w:p w14:paraId="3D0E6C45" w14:textId="77777777" w:rsidR="00410B8F" w:rsidRPr="00410B8F" w:rsidRDefault="00410B8F" w:rsidP="00D54ECD">
            <w:pPr>
              <w:ind w:left="0"/>
              <w:jc w:val="center"/>
              <w:rPr>
                <w:sz w:val="18"/>
                <w:szCs w:val="18"/>
                <w:lang w:val="es-ES"/>
              </w:rPr>
            </w:pPr>
            <w:r w:rsidRPr="00410B8F">
              <w:rPr>
                <w:rFonts w:cs="Arial"/>
                <w:color w:val="000000"/>
                <w:sz w:val="18"/>
                <w:szCs w:val="18"/>
              </w:rPr>
              <w:t>2010</w:t>
            </w:r>
          </w:p>
        </w:tc>
        <w:tc>
          <w:tcPr>
            <w:tcW w:w="377" w:type="pct"/>
            <w:tcBorders>
              <w:top w:val="single" w:sz="12" w:space="0" w:color="1CADE4" w:themeColor="accent1"/>
              <w:left w:val="nil"/>
              <w:bottom w:val="single" w:sz="12" w:space="0" w:color="1CADE4" w:themeColor="accent1"/>
              <w:right w:val="single" w:sz="4" w:space="0" w:color="auto"/>
            </w:tcBorders>
            <w:shd w:val="clear" w:color="auto" w:fill="auto"/>
            <w:noWrap/>
            <w:vAlign w:val="bottom"/>
          </w:tcPr>
          <w:p w14:paraId="6D5C6423" w14:textId="77777777" w:rsidR="00410B8F" w:rsidRPr="00410B8F" w:rsidRDefault="00410B8F" w:rsidP="00D54ECD">
            <w:pPr>
              <w:ind w:left="0"/>
              <w:jc w:val="center"/>
              <w:rPr>
                <w:sz w:val="18"/>
                <w:szCs w:val="18"/>
                <w:lang w:val="es-ES"/>
              </w:rPr>
            </w:pPr>
            <w:r w:rsidRPr="00410B8F">
              <w:rPr>
                <w:rFonts w:cs="Arial"/>
                <w:color w:val="000000"/>
                <w:sz w:val="18"/>
                <w:szCs w:val="18"/>
              </w:rPr>
              <w:t>2011</w:t>
            </w:r>
          </w:p>
        </w:tc>
        <w:tc>
          <w:tcPr>
            <w:tcW w:w="377" w:type="pct"/>
            <w:tcBorders>
              <w:top w:val="single" w:sz="12" w:space="0" w:color="1CADE4" w:themeColor="accent1"/>
              <w:left w:val="nil"/>
              <w:bottom w:val="single" w:sz="12" w:space="0" w:color="1CADE4" w:themeColor="accent1"/>
              <w:right w:val="single" w:sz="4" w:space="0" w:color="auto"/>
            </w:tcBorders>
            <w:shd w:val="clear" w:color="auto" w:fill="auto"/>
            <w:noWrap/>
            <w:vAlign w:val="bottom"/>
          </w:tcPr>
          <w:p w14:paraId="0C7A8116" w14:textId="77777777" w:rsidR="00410B8F" w:rsidRPr="00410B8F" w:rsidRDefault="00410B8F" w:rsidP="00D54ECD">
            <w:pPr>
              <w:ind w:left="0"/>
              <w:jc w:val="center"/>
              <w:rPr>
                <w:sz w:val="18"/>
                <w:szCs w:val="18"/>
                <w:lang w:val="es-ES"/>
              </w:rPr>
            </w:pPr>
            <w:r w:rsidRPr="00410B8F">
              <w:rPr>
                <w:rFonts w:cs="Arial"/>
                <w:color w:val="000000"/>
                <w:sz w:val="18"/>
                <w:szCs w:val="18"/>
              </w:rPr>
              <w:t>2012</w:t>
            </w:r>
          </w:p>
        </w:tc>
        <w:tc>
          <w:tcPr>
            <w:tcW w:w="377" w:type="pct"/>
            <w:tcBorders>
              <w:top w:val="single" w:sz="12" w:space="0" w:color="1CADE4" w:themeColor="accent1"/>
              <w:left w:val="nil"/>
              <w:bottom w:val="single" w:sz="12" w:space="0" w:color="1CADE4" w:themeColor="accent1"/>
              <w:right w:val="single" w:sz="12" w:space="0" w:color="1CADE4" w:themeColor="accent1"/>
            </w:tcBorders>
            <w:shd w:val="clear" w:color="auto" w:fill="auto"/>
            <w:noWrap/>
            <w:vAlign w:val="bottom"/>
          </w:tcPr>
          <w:p w14:paraId="52B6F1E6" w14:textId="77777777" w:rsidR="00410B8F" w:rsidRPr="00410B8F" w:rsidRDefault="00410B8F" w:rsidP="00D54ECD">
            <w:pPr>
              <w:ind w:left="0"/>
              <w:jc w:val="center"/>
              <w:rPr>
                <w:sz w:val="18"/>
                <w:szCs w:val="18"/>
                <w:lang w:val="es-ES"/>
              </w:rPr>
            </w:pPr>
            <w:r w:rsidRPr="00410B8F">
              <w:rPr>
                <w:rFonts w:cs="Arial"/>
                <w:color w:val="000000"/>
                <w:sz w:val="18"/>
                <w:szCs w:val="18"/>
              </w:rPr>
              <w:t>2013</w:t>
            </w:r>
          </w:p>
        </w:tc>
      </w:tr>
      <w:tr w:rsidR="00410B8F" w:rsidRPr="00410B8F" w14:paraId="007CAC0E" w14:textId="77777777" w:rsidTr="00410B8F">
        <w:trPr>
          <w:trHeight w:val="310"/>
        </w:trPr>
        <w:tc>
          <w:tcPr>
            <w:tcW w:w="1228" w:type="pct"/>
            <w:tcBorders>
              <w:top w:val="single" w:sz="12" w:space="0" w:color="1CADE4" w:themeColor="accent1"/>
              <w:left w:val="single" w:sz="12" w:space="0" w:color="1CADE4" w:themeColor="accent1"/>
              <w:bottom w:val="single" w:sz="4" w:space="0" w:color="BFBFBF"/>
              <w:right w:val="single" w:sz="12" w:space="0" w:color="1CADE4" w:themeColor="accent1"/>
            </w:tcBorders>
            <w:shd w:val="clear" w:color="auto" w:fill="auto"/>
            <w:noWrap/>
            <w:vAlign w:val="bottom"/>
            <w:hideMark/>
          </w:tcPr>
          <w:p w14:paraId="505E8BD2" w14:textId="77777777" w:rsidR="00410B8F" w:rsidRPr="00410B8F" w:rsidRDefault="00410B8F" w:rsidP="00D54ECD">
            <w:pPr>
              <w:ind w:left="0"/>
              <w:jc w:val="center"/>
              <w:rPr>
                <w:sz w:val="18"/>
                <w:szCs w:val="18"/>
                <w:lang w:val="es-ES"/>
              </w:rPr>
            </w:pPr>
            <w:r>
              <w:rPr>
                <w:sz w:val="18"/>
                <w:szCs w:val="18"/>
                <w:lang w:val="es-ES"/>
              </w:rPr>
              <w:t>Biotecnológicas</w:t>
            </w:r>
          </w:p>
        </w:tc>
        <w:tc>
          <w:tcPr>
            <w:tcW w:w="378" w:type="pct"/>
            <w:tcBorders>
              <w:top w:val="single" w:sz="12" w:space="0" w:color="1CADE4" w:themeColor="accent1"/>
              <w:left w:val="single" w:sz="12" w:space="0" w:color="1CADE4" w:themeColor="accent1"/>
              <w:bottom w:val="single" w:sz="4" w:space="0" w:color="BFBFBF"/>
              <w:right w:val="single" w:sz="4" w:space="0" w:color="auto"/>
            </w:tcBorders>
            <w:shd w:val="clear" w:color="auto" w:fill="auto"/>
            <w:noWrap/>
            <w:vAlign w:val="bottom"/>
            <w:hideMark/>
          </w:tcPr>
          <w:p w14:paraId="5626E3EF" w14:textId="77777777" w:rsidR="00410B8F" w:rsidRPr="00410B8F" w:rsidRDefault="00410B8F" w:rsidP="00D54ECD">
            <w:pPr>
              <w:ind w:left="0"/>
              <w:jc w:val="center"/>
              <w:rPr>
                <w:sz w:val="18"/>
                <w:szCs w:val="18"/>
                <w:lang w:val="es-ES"/>
              </w:rPr>
            </w:pPr>
            <w:r w:rsidRPr="00410B8F">
              <w:rPr>
                <w:sz w:val="18"/>
                <w:szCs w:val="18"/>
                <w:lang w:val="es-ES"/>
              </w:rPr>
              <w:t>5.096</w:t>
            </w:r>
          </w:p>
        </w:tc>
        <w:tc>
          <w:tcPr>
            <w:tcW w:w="378" w:type="pct"/>
            <w:tcBorders>
              <w:top w:val="single" w:sz="12" w:space="0" w:color="1CADE4" w:themeColor="accent1"/>
              <w:left w:val="nil"/>
              <w:bottom w:val="single" w:sz="4" w:space="0" w:color="BFBFBF"/>
              <w:right w:val="single" w:sz="4" w:space="0" w:color="auto"/>
            </w:tcBorders>
            <w:shd w:val="clear" w:color="auto" w:fill="auto"/>
            <w:noWrap/>
            <w:vAlign w:val="bottom"/>
            <w:hideMark/>
          </w:tcPr>
          <w:p w14:paraId="2D033033" w14:textId="77777777" w:rsidR="00410B8F" w:rsidRPr="00410B8F" w:rsidRDefault="00410B8F" w:rsidP="00D54ECD">
            <w:pPr>
              <w:ind w:left="0"/>
              <w:jc w:val="center"/>
              <w:rPr>
                <w:sz w:val="18"/>
                <w:szCs w:val="18"/>
                <w:lang w:val="es-ES"/>
              </w:rPr>
            </w:pPr>
            <w:r w:rsidRPr="00410B8F">
              <w:rPr>
                <w:sz w:val="18"/>
                <w:szCs w:val="18"/>
                <w:lang w:val="es-ES"/>
              </w:rPr>
              <w:t>5.278</w:t>
            </w:r>
          </w:p>
        </w:tc>
        <w:tc>
          <w:tcPr>
            <w:tcW w:w="378" w:type="pct"/>
            <w:tcBorders>
              <w:top w:val="single" w:sz="12" w:space="0" w:color="1CADE4" w:themeColor="accent1"/>
              <w:left w:val="nil"/>
              <w:bottom w:val="single" w:sz="4" w:space="0" w:color="BFBFBF"/>
              <w:right w:val="single" w:sz="4" w:space="0" w:color="auto"/>
            </w:tcBorders>
            <w:shd w:val="clear" w:color="auto" w:fill="auto"/>
            <w:noWrap/>
            <w:vAlign w:val="bottom"/>
            <w:hideMark/>
          </w:tcPr>
          <w:p w14:paraId="6E5CEF57" w14:textId="77777777" w:rsidR="00410B8F" w:rsidRPr="00410B8F" w:rsidRDefault="00410B8F" w:rsidP="00D54ECD">
            <w:pPr>
              <w:ind w:left="0"/>
              <w:jc w:val="center"/>
              <w:rPr>
                <w:sz w:val="18"/>
                <w:szCs w:val="18"/>
                <w:lang w:val="es-ES"/>
              </w:rPr>
            </w:pPr>
            <w:r w:rsidRPr="00410B8F">
              <w:rPr>
                <w:sz w:val="18"/>
                <w:szCs w:val="18"/>
                <w:lang w:val="es-ES"/>
              </w:rPr>
              <w:t>5.204</w:t>
            </w:r>
          </w:p>
        </w:tc>
        <w:tc>
          <w:tcPr>
            <w:tcW w:w="377" w:type="pct"/>
            <w:tcBorders>
              <w:top w:val="single" w:sz="12" w:space="0" w:color="1CADE4" w:themeColor="accent1"/>
              <w:left w:val="nil"/>
              <w:bottom w:val="single" w:sz="4" w:space="0" w:color="BFBFBF"/>
              <w:right w:val="single" w:sz="4" w:space="0" w:color="auto"/>
            </w:tcBorders>
            <w:shd w:val="clear" w:color="auto" w:fill="auto"/>
            <w:noWrap/>
            <w:vAlign w:val="bottom"/>
            <w:hideMark/>
          </w:tcPr>
          <w:p w14:paraId="7E56BC23" w14:textId="77777777" w:rsidR="00410B8F" w:rsidRPr="00410B8F" w:rsidRDefault="00410B8F" w:rsidP="00D54ECD">
            <w:pPr>
              <w:ind w:left="0"/>
              <w:jc w:val="center"/>
              <w:rPr>
                <w:sz w:val="18"/>
                <w:szCs w:val="18"/>
                <w:lang w:val="es-ES"/>
              </w:rPr>
            </w:pPr>
            <w:r w:rsidRPr="00410B8F">
              <w:rPr>
                <w:sz w:val="18"/>
                <w:szCs w:val="18"/>
                <w:lang w:val="es-ES"/>
              </w:rPr>
              <w:t>5.436</w:t>
            </w:r>
          </w:p>
        </w:tc>
        <w:tc>
          <w:tcPr>
            <w:tcW w:w="377" w:type="pct"/>
            <w:tcBorders>
              <w:top w:val="single" w:sz="12" w:space="0" w:color="1CADE4" w:themeColor="accent1"/>
              <w:left w:val="nil"/>
              <w:bottom w:val="single" w:sz="4" w:space="0" w:color="BFBFBF"/>
              <w:right w:val="single" w:sz="4" w:space="0" w:color="auto"/>
            </w:tcBorders>
            <w:shd w:val="clear" w:color="auto" w:fill="auto"/>
            <w:noWrap/>
            <w:vAlign w:val="bottom"/>
            <w:hideMark/>
          </w:tcPr>
          <w:p w14:paraId="607C7B55" w14:textId="77777777" w:rsidR="00410B8F" w:rsidRPr="00410B8F" w:rsidRDefault="00410B8F" w:rsidP="00D54ECD">
            <w:pPr>
              <w:ind w:left="0"/>
              <w:jc w:val="center"/>
              <w:rPr>
                <w:sz w:val="18"/>
                <w:szCs w:val="18"/>
                <w:lang w:val="es-ES"/>
              </w:rPr>
            </w:pPr>
            <w:r w:rsidRPr="00410B8F">
              <w:rPr>
                <w:sz w:val="18"/>
                <w:szCs w:val="18"/>
                <w:lang w:val="es-ES"/>
              </w:rPr>
              <w:t>5.566</w:t>
            </w:r>
          </w:p>
        </w:tc>
        <w:tc>
          <w:tcPr>
            <w:tcW w:w="377" w:type="pct"/>
            <w:tcBorders>
              <w:top w:val="single" w:sz="12" w:space="0" w:color="1CADE4" w:themeColor="accent1"/>
              <w:left w:val="nil"/>
              <w:bottom w:val="single" w:sz="4" w:space="0" w:color="BFBFBF"/>
              <w:right w:val="single" w:sz="4" w:space="0" w:color="auto"/>
            </w:tcBorders>
            <w:shd w:val="clear" w:color="auto" w:fill="auto"/>
            <w:noWrap/>
            <w:vAlign w:val="bottom"/>
            <w:hideMark/>
          </w:tcPr>
          <w:p w14:paraId="22944605" w14:textId="77777777" w:rsidR="00410B8F" w:rsidRPr="00410B8F" w:rsidRDefault="00410B8F" w:rsidP="00D54ECD">
            <w:pPr>
              <w:ind w:left="0"/>
              <w:jc w:val="center"/>
              <w:rPr>
                <w:sz w:val="18"/>
                <w:szCs w:val="18"/>
                <w:lang w:val="es-ES"/>
              </w:rPr>
            </w:pPr>
            <w:r w:rsidRPr="00410B8F">
              <w:rPr>
                <w:sz w:val="18"/>
                <w:szCs w:val="18"/>
                <w:lang w:val="es-ES"/>
              </w:rPr>
              <w:t>5.154</w:t>
            </w:r>
          </w:p>
        </w:tc>
        <w:tc>
          <w:tcPr>
            <w:tcW w:w="377" w:type="pct"/>
            <w:tcBorders>
              <w:top w:val="single" w:sz="12" w:space="0" w:color="1CADE4" w:themeColor="accent1"/>
              <w:left w:val="nil"/>
              <w:bottom w:val="single" w:sz="4" w:space="0" w:color="BFBFBF"/>
              <w:right w:val="single" w:sz="4" w:space="0" w:color="auto"/>
            </w:tcBorders>
            <w:shd w:val="clear" w:color="auto" w:fill="auto"/>
            <w:noWrap/>
            <w:vAlign w:val="bottom"/>
            <w:hideMark/>
          </w:tcPr>
          <w:p w14:paraId="2D4EF500" w14:textId="77777777" w:rsidR="00410B8F" w:rsidRPr="00410B8F" w:rsidRDefault="00410B8F" w:rsidP="00D54ECD">
            <w:pPr>
              <w:ind w:left="0"/>
              <w:jc w:val="center"/>
              <w:rPr>
                <w:sz w:val="18"/>
                <w:szCs w:val="18"/>
                <w:lang w:val="es-ES"/>
              </w:rPr>
            </w:pPr>
            <w:r w:rsidRPr="00410B8F">
              <w:rPr>
                <w:sz w:val="18"/>
                <w:szCs w:val="18"/>
                <w:lang w:val="es-ES"/>
              </w:rPr>
              <w:t>7.739</w:t>
            </w:r>
          </w:p>
        </w:tc>
        <w:tc>
          <w:tcPr>
            <w:tcW w:w="377" w:type="pct"/>
            <w:tcBorders>
              <w:top w:val="single" w:sz="12" w:space="0" w:color="1CADE4" w:themeColor="accent1"/>
              <w:left w:val="nil"/>
              <w:bottom w:val="single" w:sz="4" w:space="0" w:color="BFBFBF"/>
              <w:right w:val="single" w:sz="4" w:space="0" w:color="auto"/>
            </w:tcBorders>
            <w:shd w:val="clear" w:color="auto" w:fill="auto"/>
            <w:noWrap/>
            <w:vAlign w:val="bottom"/>
            <w:hideMark/>
          </w:tcPr>
          <w:p w14:paraId="4919C9E8" w14:textId="77777777" w:rsidR="00410B8F" w:rsidRPr="00410B8F" w:rsidRDefault="00410B8F" w:rsidP="00D54ECD">
            <w:pPr>
              <w:ind w:left="0"/>
              <w:jc w:val="center"/>
              <w:rPr>
                <w:sz w:val="18"/>
                <w:szCs w:val="18"/>
                <w:lang w:val="es-ES"/>
              </w:rPr>
            </w:pPr>
            <w:r w:rsidRPr="00410B8F">
              <w:rPr>
                <w:sz w:val="18"/>
                <w:szCs w:val="18"/>
                <w:lang w:val="es-ES"/>
              </w:rPr>
              <w:t>5.891</w:t>
            </w:r>
          </w:p>
        </w:tc>
        <w:tc>
          <w:tcPr>
            <w:tcW w:w="377" w:type="pct"/>
            <w:tcBorders>
              <w:top w:val="single" w:sz="12" w:space="0" w:color="1CADE4" w:themeColor="accent1"/>
              <w:left w:val="nil"/>
              <w:bottom w:val="single" w:sz="4" w:space="0" w:color="BFBFBF"/>
              <w:right w:val="single" w:sz="4" w:space="0" w:color="auto"/>
            </w:tcBorders>
            <w:shd w:val="clear" w:color="auto" w:fill="auto"/>
            <w:noWrap/>
            <w:vAlign w:val="bottom"/>
            <w:hideMark/>
          </w:tcPr>
          <w:p w14:paraId="7D639900" w14:textId="77777777" w:rsidR="00410B8F" w:rsidRPr="00410B8F" w:rsidRDefault="00410B8F" w:rsidP="00D54ECD">
            <w:pPr>
              <w:ind w:left="0"/>
              <w:jc w:val="center"/>
              <w:rPr>
                <w:sz w:val="18"/>
                <w:szCs w:val="18"/>
                <w:lang w:val="es-ES"/>
              </w:rPr>
            </w:pPr>
            <w:r w:rsidRPr="00410B8F">
              <w:rPr>
                <w:sz w:val="18"/>
                <w:szCs w:val="18"/>
                <w:lang w:val="es-ES"/>
              </w:rPr>
              <w:t>5.581</w:t>
            </w:r>
          </w:p>
        </w:tc>
        <w:tc>
          <w:tcPr>
            <w:tcW w:w="377" w:type="pct"/>
            <w:tcBorders>
              <w:top w:val="single" w:sz="12" w:space="0" w:color="1CADE4" w:themeColor="accent1"/>
              <w:left w:val="nil"/>
              <w:bottom w:val="single" w:sz="4" w:space="0" w:color="BFBFBF"/>
              <w:right w:val="single" w:sz="12" w:space="0" w:color="1CADE4" w:themeColor="accent1"/>
            </w:tcBorders>
            <w:shd w:val="clear" w:color="auto" w:fill="auto"/>
            <w:noWrap/>
            <w:vAlign w:val="bottom"/>
            <w:hideMark/>
          </w:tcPr>
          <w:p w14:paraId="70F19F64" w14:textId="77777777" w:rsidR="00410B8F" w:rsidRPr="00410B8F" w:rsidRDefault="00410B8F" w:rsidP="00D54ECD">
            <w:pPr>
              <w:ind w:left="0"/>
              <w:jc w:val="center"/>
              <w:rPr>
                <w:sz w:val="18"/>
                <w:szCs w:val="18"/>
                <w:lang w:val="es-ES"/>
              </w:rPr>
            </w:pPr>
            <w:r w:rsidRPr="00410B8F">
              <w:rPr>
                <w:sz w:val="18"/>
                <w:szCs w:val="18"/>
                <w:lang w:val="es-ES"/>
              </w:rPr>
              <w:t>5.381</w:t>
            </w:r>
          </w:p>
        </w:tc>
      </w:tr>
      <w:tr w:rsidR="00410B8F" w:rsidRPr="00410B8F" w14:paraId="51820DD5" w14:textId="77777777" w:rsidTr="00410B8F">
        <w:trPr>
          <w:trHeight w:val="310"/>
        </w:trPr>
        <w:tc>
          <w:tcPr>
            <w:tcW w:w="1228" w:type="pct"/>
            <w:tcBorders>
              <w:top w:val="nil"/>
              <w:left w:val="single" w:sz="12" w:space="0" w:color="1CADE4" w:themeColor="accent1"/>
              <w:bottom w:val="single" w:sz="12" w:space="0" w:color="1CADE4" w:themeColor="accent1"/>
              <w:right w:val="single" w:sz="12" w:space="0" w:color="1CADE4" w:themeColor="accent1"/>
            </w:tcBorders>
            <w:shd w:val="clear" w:color="auto" w:fill="auto"/>
            <w:noWrap/>
            <w:vAlign w:val="bottom"/>
            <w:hideMark/>
          </w:tcPr>
          <w:p w14:paraId="49E137C7" w14:textId="77777777" w:rsidR="00410B8F" w:rsidRPr="00410B8F" w:rsidRDefault="00410B8F" w:rsidP="00D54ECD">
            <w:pPr>
              <w:ind w:left="0"/>
              <w:jc w:val="center"/>
              <w:rPr>
                <w:sz w:val="18"/>
                <w:szCs w:val="18"/>
                <w:lang w:val="es-ES"/>
              </w:rPr>
            </w:pPr>
            <w:r>
              <w:rPr>
                <w:sz w:val="18"/>
                <w:szCs w:val="18"/>
                <w:lang w:val="es-ES"/>
              </w:rPr>
              <w:t>Farmacéuticas</w:t>
            </w:r>
          </w:p>
        </w:tc>
        <w:tc>
          <w:tcPr>
            <w:tcW w:w="378" w:type="pct"/>
            <w:tcBorders>
              <w:top w:val="nil"/>
              <w:left w:val="single" w:sz="12" w:space="0" w:color="1CADE4" w:themeColor="accent1"/>
              <w:bottom w:val="single" w:sz="12" w:space="0" w:color="1CADE4" w:themeColor="accent1"/>
              <w:right w:val="single" w:sz="4" w:space="0" w:color="auto"/>
            </w:tcBorders>
            <w:shd w:val="clear" w:color="auto" w:fill="auto"/>
            <w:noWrap/>
            <w:vAlign w:val="bottom"/>
            <w:hideMark/>
          </w:tcPr>
          <w:p w14:paraId="6025AAF4" w14:textId="77777777" w:rsidR="00410B8F" w:rsidRPr="00410B8F" w:rsidRDefault="00410B8F" w:rsidP="00D54ECD">
            <w:pPr>
              <w:ind w:left="0"/>
              <w:jc w:val="center"/>
              <w:rPr>
                <w:sz w:val="18"/>
                <w:szCs w:val="18"/>
                <w:lang w:val="es-ES"/>
              </w:rPr>
            </w:pPr>
            <w:r w:rsidRPr="00410B8F">
              <w:rPr>
                <w:sz w:val="18"/>
                <w:szCs w:val="18"/>
                <w:lang w:val="es-ES"/>
              </w:rPr>
              <w:t>6.490</w:t>
            </w:r>
          </w:p>
        </w:tc>
        <w:tc>
          <w:tcPr>
            <w:tcW w:w="378" w:type="pct"/>
            <w:tcBorders>
              <w:top w:val="nil"/>
              <w:left w:val="nil"/>
              <w:bottom w:val="single" w:sz="12" w:space="0" w:color="1CADE4" w:themeColor="accent1"/>
              <w:right w:val="single" w:sz="4" w:space="0" w:color="auto"/>
            </w:tcBorders>
            <w:shd w:val="clear" w:color="auto" w:fill="auto"/>
            <w:noWrap/>
            <w:vAlign w:val="bottom"/>
            <w:hideMark/>
          </w:tcPr>
          <w:p w14:paraId="201C39E5" w14:textId="77777777" w:rsidR="00410B8F" w:rsidRPr="00410B8F" w:rsidRDefault="00410B8F" w:rsidP="00D54ECD">
            <w:pPr>
              <w:ind w:left="0"/>
              <w:jc w:val="center"/>
              <w:rPr>
                <w:sz w:val="18"/>
                <w:szCs w:val="18"/>
                <w:lang w:val="es-ES"/>
              </w:rPr>
            </w:pPr>
            <w:r w:rsidRPr="00410B8F">
              <w:rPr>
                <w:sz w:val="18"/>
                <w:szCs w:val="18"/>
                <w:lang w:val="es-ES"/>
              </w:rPr>
              <w:t>6.298</w:t>
            </w:r>
          </w:p>
        </w:tc>
        <w:tc>
          <w:tcPr>
            <w:tcW w:w="378" w:type="pct"/>
            <w:tcBorders>
              <w:top w:val="nil"/>
              <w:left w:val="nil"/>
              <w:bottom w:val="single" w:sz="12" w:space="0" w:color="1CADE4" w:themeColor="accent1"/>
              <w:right w:val="single" w:sz="4" w:space="0" w:color="auto"/>
            </w:tcBorders>
            <w:shd w:val="clear" w:color="auto" w:fill="auto"/>
            <w:noWrap/>
            <w:vAlign w:val="bottom"/>
            <w:hideMark/>
          </w:tcPr>
          <w:p w14:paraId="75E5C534" w14:textId="77777777" w:rsidR="00410B8F" w:rsidRPr="00410B8F" w:rsidRDefault="00410B8F" w:rsidP="00D54ECD">
            <w:pPr>
              <w:ind w:left="0"/>
              <w:jc w:val="center"/>
              <w:rPr>
                <w:sz w:val="18"/>
                <w:szCs w:val="18"/>
                <w:lang w:val="es-ES"/>
              </w:rPr>
            </w:pPr>
            <w:r w:rsidRPr="00410B8F">
              <w:rPr>
                <w:sz w:val="18"/>
                <w:szCs w:val="18"/>
                <w:lang w:val="es-ES"/>
              </w:rPr>
              <w:t>6.146</w:t>
            </w:r>
          </w:p>
        </w:tc>
        <w:tc>
          <w:tcPr>
            <w:tcW w:w="377" w:type="pct"/>
            <w:tcBorders>
              <w:top w:val="nil"/>
              <w:left w:val="nil"/>
              <w:bottom w:val="single" w:sz="12" w:space="0" w:color="1CADE4" w:themeColor="accent1"/>
              <w:right w:val="single" w:sz="4" w:space="0" w:color="auto"/>
            </w:tcBorders>
            <w:shd w:val="clear" w:color="auto" w:fill="auto"/>
            <w:noWrap/>
            <w:vAlign w:val="bottom"/>
            <w:hideMark/>
          </w:tcPr>
          <w:p w14:paraId="0ACB52E1" w14:textId="77777777" w:rsidR="00410B8F" w:rsidRPr="00410B8F" w:rsidRDefault="00410B8F" w:rsidP="00D54ECD">
            <w:pPr>
              <w:ind w:left="0"/>
              <w:jc w:val="center"/>
              <w:rPr>
                <w:sz w:val="18"/>
                <w:szCs w:val="18"/>
                <w:lang w:val="es-ES"/>
              </w:rPr>
            </w:pPr>
            <w:r w:rsidRPr="00410B8F">
              <w:rPr>
                <w:sz w:val="18"/>
                <w:szCs w:val="18"/>
                <w:lang w:val="es-ES"/>
              </w:rPr>
              <w:t>6.428</w:t>
            </w:r>
          </w:p>
        </w:tc>
        <w:tc>
          <w:tcPr>
            <w:tcW w:w="377" w:type="pct"/>
            <w:tcBorders>
              <w:top w:val="nil"/>
              <w:left w:val="nil"/>
              <w:bottom w:val="single" w:sz="12" w:space="0" w:color="1CADE4" w:themeColor="accent1"/>
              <w:right w:val="single" w:sz="4" w:space="0" w:color="auto"/>
            </w:tcBorders>
            <w:shd w:val="clear" w:color="auto" w:fill="auto"/>
            <w:noWrap/>
            <w:vAlign w:val="bottom"/>
            <w:hideMark/>
          </w:tcPr>
          <w:p w14:paraId="3537464C" w14:textId="77777777" w:rsidR="00410B8F" w:rsidRPr="00410B8F" w:rsidRDefault="00410B8F" w:rsidP="00D54ECD">
            <w:pPr>
              <w:ind w:left="0"/>
              <w:jc w:val="center"/>
              <w:rPr>
                <w:sz w:val="18"/>
                <w:szCs w:val="18"/>
                <w:lang w:val="es-ES"/>
              </w:rPr>
            </w:pPr>
            <w:r w:rsidRPr="00410B8F">
              <w:rPr>
                <w:sz w:val="18"/>
                <w:szCs w:val="18"/>
                <w:lang w:val="es-ES"/>
              </w:rPr>
              <w:t>6.378</w:t>
            </w:r>
          </w:p>
        </w:tc>
        <w:tc>
          <w:tcPr>
            <w:tcW w:w="377" w:type="pct"/>
            <w:tcBorders>
              <w:top w:val="nil"/>
              <w:left w:val="nil"/>
              <w:bottom w:val="single" w:sz="12" w:space="0" w:color="1CADE4" w:themeColor="accent1"/>
              <w:right w:val="single" w:sz="4" w:space="0" w:color="auto"/>
            </w:tcBorders>
            <w:shd w:val="clear" w:color="auto" w:fill="auto"/>
            <w:noWrap/>
            <w:vAlign w:val="bottom"/>
            <w:hideMark/>
          </w:tcPr>
          <w:p w14:paraId="2490B32B" w14:textId="77777777" w:rsidR="00410B8F" w:rsidRPr="00410B8F" w:rsidRDefault="00410B8F" w:rsidP="00D54ECD">
            <w:pPr>
              <w:ind w:left="0"/>
              <w:jc w:val="center"/>
              <w:rPr>
                <w:sz w:val="18"/>
                <w:szCs w:val="18"/>
                <w:lang w:val="es-ES"/>
              </w:rPr>
            </w:pPr>
            <w:r w:rsidRPr="00410B8F">
              <w:rPr>
                <w:sz w:val="18"/>
                <w:szCs w:val="18"/>
                <w:lang w:val="es-ES"/>
              </w:rPr>
              <w:t>5.579</w:t>
            </w:r>
          </w:p>
        </w:tc>
        <w:tc>
          <w:tcPr>
            <w:tcW w:w="377" w:type="pct"/>
            <w:tcBorders>
              <w:top w:val="nil"/>
              <w:left w:val="nil"/>
              <w:bottom w:val="single" w:sz="12" w:space="0" w:color="1CADE4" w:themeColor="accent1"/>
              <w:right w:val="single" w:sz="4" w:space="0" w:color="auto"/>
            </w:tcBorders>
            <w:shd w:val="clear" w:color="auto" w:fill="auto"/>
            <w:noWrap/>
            <w:vAlign w:val="bottom"/>
            <w:hideMark/>
          </w:tcPr>
          <w:p w14:paraId="5E363F21" w14:textId="77777777" w:rsidR="00410B8F" w:rsidRPr="00410B8F" w:rsidRDefault="00410B8F" w:rsidP="00D54ECD">
            <w:pPr>
              <w:ind w:left="0"/>
              <w:jc w:val="center"/>
              <w:rPr>
                <w:sz w:val="18"/>
                <w:szCs w:val="18"/>
                <w:lang w:val="es-ES"/>
              </w:rPr>
            </w:pPr>
            <w:r w:rsidRPr="00410B8F">
              <w:rPr>
                <w:sz w:val="18"/>
                <w:szCs w:val="18"/>
                <w:lang w:val="es-ES"/>
              </w:rPr>
              <w:t>6.906</w:t>
            </w:r>
          </w:p>
        </w:tc>
        <w:tc>
          <w:tcPr>
            <w:tcW w:w="377" w:type="pct"/>
            <w:tcBorders>
              <w:top w:val="nil"/>
              <w:left w:val="nil"/>
              <w:bottom w:val="single" w:sz="12" w:space="0" w:color="1CADE4" w:themeColor="accent1"/>
              <w:right w:val="single" w:sz="4" w:space="0" w:color="auto"/>
            </w:tcBorders>
            <w:shd w:val="clear" w:color="auto" w:fill="auto"/>
            <w:noWrap/>
            <w:vAlign w:val="bottom"/>
            <w:hideMark/>
          </w:tcPr>
          <w:p w14:paraId="6220ABE7" w14:textId="77777777" w:rsidR="00410B8F" w:rsidRPr="00410B8F" w:rsidRDefault="00410B8F" w:rsidP="00D54ECD">
            <w:pPr>
              <w:ind w:left="0"/>
              <w:jc w:val="center"/>
              <w:rPr>
                <w:sz w:val="18"/>
                <w:szCs w:val="18"/>
                <w:lang w:val="es-ES"/>
              </w:rPr>
            </w:pPr>
            <w:r w:rsidRPr="00410B8F">
              <w:rPr>
                <w:sz w:val="18"/>
                <w:szCs w:val="18"/>
                <w:lang w:val="es-ES"/>
              </w:rPr>
              <w:t>6.059</w:t>
            </w:r>
          </w:p>
        </w:tc>
        <w:tc>
          <w:tcPr>
            <w:tcW w:w="377" w:type="pct"/>
            <w:tcBorders>
              <w:top w:val="nil"/>
              <w:left w:val="nil"/>
              <w:bottom w:val="single" w:sz="12" w:space="0" w:color="1CADE4" w:themeColor="accent1"/>
              <w:right w:val="single" w:sz="4" w:space="0" w:color="auto"/>
            </w:tcBorders>
            <w:shd w:val="clear" w:color="auto" w:fill="auto"/>
            <w:noWrap/>
            <w:vAlign w:val="bottom"/>
            <w:hideMark/>
          </w:tcPr>
          <w:p w14:paraId="1A6FB1BC" w14:textId="77777777" w:rsidR="00410B8F" w:rsidRPr="00410B8F" w:rsidRDefault="00410B8F" w:rsidP="00D54ECD">
            <w:pPr>
              <w:ind w:left="0"/>
              <w:jc w:val="center"/>
              <w:rPr>
                <w:sz w:val="18"/>
                <w:szCs w:val="18"/>
                <w:lang w:val="es-ES"/>
              </w:rPr>
            </w:pPr>
            <w:r w:rsidRPr="00410B8F">
              <w:rPr>
                <w:sz w:val="18"/>
                <w:szCs w:val="18"/>
                <w:lang w:val="es-ES"/>
              </w:rPr>
              <w:t>6.282</w:t>
            </w:r>
          </w:p>
        </w:tc>
        <w:tc>
          <w:tcPr>
            <w:tcW w:w="377" w:type="pct"/>
            <w:tcBorders>
              <w:top w:val="nil"/>
              <w:left w:val="nil"/>
              <w:bottom w:val="single" w:sz="12" w:space="0" w:color="1CADE4" w:themeColor="accent1"/>
              <w:right w:val="single" w:sz="12" w:space="0" w:color="1CADE4" w:themeColor="accent1"/>
            </w:tcBorders>
            <w:shd w:val="clear" w:color="auto" w:fill="auto"/>
            <w:noWrap/>
            <w:vAlign w:val="bottom"/>
            <w:hideMark/>
          </w:tcPr>
          <w:p w14:paraId="4A023397" w14:textId="77777777" w:rsidR="00410B8F" w:rsidRPr="00410B8F" w:rsidRDefault="00410B8F" w:rsidP="00D54ECD">
            <w:pPr>
              <w:ind w:left="0"/>
              <w:jc w:val="center"/>
              <w:rPr>
                <w:sz w:val="18"/>
                <w:szCs w:val="18"/>
                <w:lang w:val="es-ES"/>
              </w:rPr>
            </w:pPr>
            <w:r w:rsidRPr="00410B8F">
              <w:rPr>
                <w:sz w:val="18"/>
                <w:szCs w:val="18"/>
                <w:lang w:val="es-ES"/>
              </w:rPr>
              <w:t>5.396</w:t>
            </w:r>
          </w:p>
        </w:tc>
      </w:tr>
    </w:tbl>
    <w:p w14:paraId="56EA520E" w14:textId="77777777" w:rsidR="00410B8F" w:rsidRDefault="00410B8F" w:rsidP="00375FE9">
      <w:pPr>
        <w:pStyle w:val="Ttulo3"/>
        <w:ind w:left="0"/>
        <w:rPr>
          <w:lang w:val="es-ES"/>
        </w:rPr>
      </w:pPr>
    </w:p>
    <w:p w14:paraId="58577F1E" w14:textId="765ACC5B" w:rsidR="003A04A9" w:rsidRDefault="00101518" w:rsidP="00375FE9">
      <w:pPr>
        <w:pStyle w:val="Ttulo3"/>
        <w:ind w:left="0"/>
        <w:rPr>
          <w:lang w:val="es-ES"/>
        </w:rPr>
      </w:pPr>
      <w:bookmarkStart w:id="16" w:name="_Toc400525381"/>
      <w:r w:rsidRPr="0042706A">
        <w:rPr>
          <w:lang w:val="es-ES"/>
        </w:rPr>
        <w:t>1.</w:t>
      </w:r>
      <w:r w:rsidR="003A04A9" w:rsidRPr="0042706A">
        <w:rPr>
          <w:lang w:val="es-ES"/>
        </w:rPr>
        <w:t>3</w:t>
      </w:r>
      <w:r w:rsidRPr="0042706A">
        <w:rPr>
          <w:lang w:val="es-ES"/>
        </w:rPr>
        <w:t>.2. La patente unitaria europea</w:t>
      </w:r>
      <w:r w:rsidR="00375FE9" w:rsidRPr="0042706A">
        <w:rPr>
          <w:lang w:val="es-ES"/>
        </w:rPr>
        <w:t>.</w:t>
      </w:r>
      <w:bookmarkEnd w:id="16"/>
    </w:p>
    <w:p w14:paraId="2FB4936B" w14:textId="77777777" w:rsidR="0042706A" w:rsidRDefault="0042706A" w:rsidP="0042706A">
      <w:pPr>
        <w:ind w:left="0"/>
        <w:rPr>
          <w:lang w:val="es-ES"/>
        </w:rPr>
      </w:pPr>
    </w:p>
    <w:p w14:paraId="3D882A77" w14:textId="2DE3C829" w:rsidR="0042706A" w:rsidRPr="0042706A" w:rsidRDefault="0042706A" w:rsidP="0042706A">
      <w:pPr>
        <w:ind w:left="0"/>
        <w:rPr>
          <w:u w:val="single"/>
          <w:lang w:val="es-ES"/>
        </w:rPr>
      </w:pPr>
      <w:r w:rsidRPr="0042706A">
        <w:rPr>
          <w:u w:val="single"/>
          <w:lang w:val="es-ES"/>
        </w:rPr>
        <w:t>A. Cronología</w:t>
      </w:r>
      <w:r w:rsidR="005006AD">
        <w:rPr>
          <w:u w:val="single"/>
          <w:lang w:val="es-ES"/>
        </w:rPr>
        <w:t xml:space="preserve"> y legislación</w:t>
      </w:r>
      <w:r w:rsidRPr="0042706A">
        <w:rPr>
          <w:u w:val="single"/>
          <w:lang w:val="es-ES"/>
        </w:rPr>
        <w:t>.</w:t>
      </w:r>
    </w:p>
    <w:p w14:paraId="2BD1F2B8" w14:textId="77777777" w:rsidR="003A04A9" w:rsidRPr="0042706A" w:rsidRDefault="003A04A9" w:rsidP="00AA1D3F">
      <w:pPr>
        <w:ind w:left="0"/>
        <w:rPr>
          <w:rFonts w:cs="Arial"/>
          <w:lang w:val="es-ES"/>
        </w:rPr>
      </w:pPr>
    </w:p>
    <w:p w14:paraId="30594E5E" w14:textId="77777777" w:rsidR="00D3651A" w:rsidRDefault="0042706A" w:rsidP="006061ED">
      <w:pPr>
        <w:ind w:left="0" w:firstLine="360"/>
        <w:rPr>
          <w:rFonts w:cs="Arial"/>
          <w:lang w:val="es-ES"/>
        </w:rPr>
      </w:pPr>
      <w:r>
        <w:rPr>
          <w:rFonts w:cs="Arial"/>
          <w:lang w:val="es-ES"/>
        </w:rPr>
        <w:t>Numerosos esfuerzos se han realizado</w:t>
      </w:r>
      <w:r w:rsidR="00D3651A" w:rsidRPr="00D3651A">
        <w:rPr>
          <w:rFonts w:cs="Arial"/>
          <w:lang w:val="es-ES"/>
        </w:rPr>
        <w:t xml:space="preserve"> </w:t>
      </w:r>
      <w:r w:rsidR="00D3651A">
        <w:rPr>
          <w:rFonts w:cs="Arial"/>
          <w:lang w:val="es-ES"/>
        </w:rPr>
        <w:t>desde los años 60 del siglo pasado para crear una patente europea que fuera aplicables a todos los países europeos, pero por razones muy variadas nunca se consiguió dicho objetivo.</w:t>
      </w:r>
    </w:p>
    <w:p w14:paraId="6D203799" w14:textId="77777777" w:rsidR="0042706A" w:rsidRPr="00D3651A" w:rsidRDefault="0042706A" w:rsidP="00AA1D3F">
      <w:pPr>
        <w:ind w:left="0"/>
        <w:rPr>
          <w:rFonts w:cs="Arial"/>
          <w:lang w:val="es-ES"/>
        </w:rPr>
      </w:pPr>
    </w:p>
    <w:p w14:paraId="0801E56B" w14:textId="01FBE379" w:rsidR="00D3651A" w:rsidRDefault="00D3651A" w:rsidP="006061ED">
      <w:pPr>
        <w:ind w:left="0" w:firstLine="360"/>
        <w:rPr>
          <w:rFonts w:cs="Arial"/>
          <w:lang w:val="es-ES"/>
        </w:rPr>
      </w:pPr>
      <w:r w:rsidRPr="0042706A">
        <w:rPr>
          <w:rFonts w:cs="Arial"/>
          <w:lang w:val="es-ES"/>
        </w:rPr>
        <w:t xml:space="preserve">En el año 2000 la Comisión Europea hizo una propuesta de crear una Patente Comunitaria. El objetivo era proveer de una única patente que fuera ejercitable en todos los </w:t>
      </w:r>
      <w:r w:rsidR="00C2469C">
        <w:rPr>
          <w:rFonts w:cs="Arial"/>
          <w:lang w:val="es-ES"/>
        </w:rPr>
        <w:t>Estados</w:t>
      </w:r>
      <w:r w:rsidRPr="0042706A">
        <w:rPr>
          <w:rFonts w:cs="Arial"/>
          <w:lang w:val="es-ES"/>
        </w:rPr>
        <w:t xml:space="preserve"> </w:t>
      </w:r>
      <w:r w:rsidR="00C2469C">
        <w:rPr>
          <w:rFonts w:cs="Arial"/>
          <w:lang w:val="es-ES"/>
        </w:rPr>
        <w:t>Miembros</w:t>
      </w:r>
      <w:r w:rsidRPr="0042706A">
        <w:rPr>
          <w:rFonts w:cs="Arial"/>
          <w:lang w:val="es-ES"/>
        </w:rPr>
        <w:t xml:space="preserve">. En 2003 los </w:t>
      </w:r>
      <w:r w:rsidR="00C2469C">
        <w:rPr>
          <w:rFonts w:cs="Arial"/>
          <w:lang w:val="es-ES"/>
        </w:rPr>
        <w:t>Estados</w:t>
      </w:r>
      <w:r w:rsidRPr="0042706A">
        <w:rPr>
          <w:rFonts w:cs="Arial"/>
          <w:lang w:val="es-ES"/>
        </w:rPr>
        <w:t xml:space="preserve"> </w:t>
      </w:r>
      <w:r w:rsidR="00C2469C">
        <w:rPr>
          <w:rFonts w:cs="Arial"/>
          <w:lang w:val="es-ES"/>
        </w:rPr>
        <w:t>Miembros</w:t>
      </w:r>
      <w:r w:rsidRPr="0042706A">
        <w:rPr>
          <w:rFonts w:cs="Arial"/>
          <w:lang w:val="es-ES"/>
        </w:rPr>
        <w:t xml:space="preserve"> hicieron un nuevo intento pero no se alcanzó un consenso</w:t>
      </w:r>
      <w:r w:rsidR="0042706A">
        <w:rPr>
          <w:rFonts w:cs="Arial"/>
          <w:lang w:val="es-ES"/>
        </w:rPr>
        <w:t xml:space="preserve"> (principalmente por el régimen aplicable a las traducciones)</w:t>
      </w:r>
      <w:r w:rsidRPr="0042706A">
        <w:rPr>
          <w:rFonts w:cs="Arial"/>
          <w:lang w:val="es-ES"/>
        </w:rPr>
        <w:t xml:space="preserve"> y no se pudo llegar a un acuerdo final. Tras una consulta global en 2006, la Comisión emitió, en Abril de 2007, una comunicación en la que reafirmaba el compromiso de la Unión</w:t>
      </w:r>
      <w:r w:rsidR="00E722C6" w:rsidRPr="0042706A">
        <w:rPr>
          <w:rFonts w:cs="Arial"/>
          <w:lang w:val="es-ES"/>
        </w:rPr>
        <w:t xml:space="preserve"> con la patente comunitaria y </w:t>
      </w:r>
      <w:r w:rsidRPr="0042706A">
        <w:rPr>
          <w:rFonts w:cs="Arial"/>
          <w:lang w:val="es-ES"/>
        </w:rPr>
        <w:t>retoma</w:t>
      </w:r>
      <w:r w:rsidR="00E722C6" w:rsidRPr="0042706A">
        <w:rPr>
          <w:rFonts w:cs="Arial"/>
          <w:lang w:val="es-ES"/>
        </w:rPr>
        <w:t>ba</w:t>
      </w:r>
      <w:r w:rsidRPr="0042706A">
        <w:rPr>
          <w:rFonts w:cs="Arial"/>
          <w:lang w:val="es-ES"/>
        </w:rPr>
        <w:t xml:space="preserve"> las negociaciones</w:t>
      </w:r>
      <w:r w:rsidR="00E722C6" w:rsidRPr="0042706A">
        <w:rPr>
          <w:rFonts w:cs="Arial"/>
          <w:lang w:val="es-ES"/>
        </w:rPr>
        <w:t xml:space="preserve"> en todos los </w:t>
      </w:r>
      <w:r w:rsidR="00C2469C">
        <w:rPr>
          <w:rFonts w:cs="Arial"/>
          <w:lang w:val="es-ES"/>
        </w:rPr>
        <w:t>Estados</w:t>
      </w:r>
      <w:r w:rsidR="00E722C6" w:rsidRPr="0042706A">
        <w:rPr>
          <w:rFonts w:cs="Arial"/>
          <w:lang w:val="es-ES"/>
        </w:rPr>
        <w:t xml:space="preserve"> </w:t>
      </w:r>
      <w:r w:rsidR="00C2469C">
        <w:rPr>
          <w:rFonts w:cs="Arial"/>
          <w:lang w:val="es-ES"/>
        </w:rPr>
        <w:t>Miembros</w:t>
      </w:r>
      <w:r w:rsidR="00E722C6" w:rsidRPr="0042706A">
        <w:rPr>
          <w:rFonts w:cs="Arial"/>
          <w:lang w:val="es-ES"/>
        </w:rPr>
        <w:t>.</w:t>
      </w:r>
    </w:p>
    <w:p w14:paraId="4BCADEA9" w14:textId="77777777" w:rsidR="0042706A" w:rsidRPr="0042706A" w:rsidRDefault="0042706A" w:rsidP="0042706A">
      <w:pPr>
        <w:ind w:left="0"/>
        <w:rPr>
          <w:rFonts w:cs="Arial"/>
          <w:lang w:val="es-ES"/>
        </w:rPr>
      </w:pPr>
    </w:p>
    <w:p w14:paraId="40CCDA5A" w14:textId="6B1D1211" w:rsidR="00E722C6" w:rsidRDefault="00596C1F" w:rsidP="006061ED">
      <w:pPr>
        <w:ind w:left="0" w:firstLine="360"/>
        <w:rPr>
          <w:rFonts w:cs="Arial"/>
          <w:lang w:val="es-ES"/>
        </w:rPr>
      </w:pPr>
      <w:r w:rsidRPr="0042706A">
        <w:rPr>
          <w:rFonts w:cs="Arial"/>
          <w:lang w:val="es-ES"/>
        </w:rPr>
        <w:t xml:space="preserve">En Diciembre de 2009 los </w:t>
      </w:r>
      <w:r w:rsidR="00C2469C">
        <w:rPr>
          <w:rFonts w:cs="Arial"/>
          <w:lang w:val="es-ES"/>
        </w:rPr>
        <w:t>Estados</w:t>
      </w:r>
      <w:r w:rsidRPr="0042706A">
        <w:rPr>
          <w:rFonts w:cs="Arial"/>
          <w:lang w:val="es-ES"/>
        </w:rPr>
        <w:t xml:space="preserve"> </w:t>
      </w:r>
      <w:r w:rsidR="00C2469C">
        <w:rPr>
          <w:rFonts w:cs="Arial"/>
          <w:lang w:val="es-ES"/>
        </w:rPr>
        <w:t>Miembros</w:t>
      </w:r>
      <w:r w:rsidRPr="0042706A">
        <w:rPr>
          <w:rFonts w:cs="Arial"/>
          <w:lang w:val="es-ES"/>
        </w:rPr>
        <w:t xml:space="preserve"> de manera unánime acordaron un sistema de patentes reforzado, en el que se incluían las características principales de la patente unitaria europea. Sin embargo, no se llegó a un acuerdo en el régimen aplicable a las traducciones. En vez de eso, se acordó que era necesaria una regulación futura que tratara la materia que causaba las discrepancias. En julio de 2010 la Comisión propuso una regulación al régimen de las traducciones pero el Consejo tampoco se pudo llegar a un acuerdo unánime para la materia. </w:t>
      </w:r>
    </w:p>
    <w:p w14:paraId="0DE18A30" w14:textId="77777777" w:rsidR="0042706A" w:rsidRPr="0042706A" w:rsidRDefault="0042706A" w:rsidP="0042706A">
      <w:pPr>
        <w:ind w:left="0"/>
        <w:rPr>
          <w:rFonts w:cs="Arial"/>
          <w:lang w:val="es-ES"/>
        </w:rPr>
      </w:pPr>
    </w:p>
    <w:p w14:paraId="207EFE99" w14:textId="15403B84" w:rsidR="00596C1F" w:rsidRPr="0042706A" w:rsidRDefault="00596C1F" w:rsidP="006061ED">
      <w:pPr>
        <w:ind w:left="0" w:firstLine="360"/>
        <w:rPr>
          <w:rFonts w:cs="Arial"/>
          <w:lang w:val="es-ES"/>
        </w:rPr>
      </w:pPr>
      <w:r w:rsidRPr="0042706A">
        <w:rPr>
          <w:rFonts w:cs="Arial"/>
          <w:lang w:val="es-ES"/>
        </w:rPr>
        <w:t xml:space="preserve">El 14 de diciembre de 2010, a solicitud de 12 </w:t>
      </w:r>
      <w:r w:rsidR="00C2469C">
        <w:rPr>
          <w:rFonts w:cs="Arial"/>
          <w:lang w:val="es-ES"/>
        </w:rPr>
        <w:t>Estados</w:t>
      </w:r>
      <w:r w:rsidRPr="0042706A">
        <w:rPr>
          <w:rFonts w:cs="Arial"/>
          <w:lang w:val="es-ES"/>
        </w:rPr>
        <w:t xml:space="preserve"> </w:t>
      </w:r>
      <w:r w:rsidR="00C2469C">
        <w:rPr>
          <w:rFonts w:cs="Arial"/>
          <w:lang w:val="es-ES"/>
        </w:rPr>
        <w:t>Miembros</w:t>
      </w:r>
      <w:r w:rsidRPr="0042706A">
        <w:rPr>
          <w:rFonts w:cs="Arial"/>
          <w:lang w:val="es-ES"/>
        </w:rPr>
        <w:t xml:space="preserve">, la Comisión propuso lanzar un sistema de </w:t>
      </w:r>
      <w:r w:rsidR="0042706A">
        <w:rPr>
          <w:rFonts w:cs="Arial"/>
          <w:lang w:val="es-ES"/>
        </w:rPr>
        <w:t>cooperación reforzada para impulsar la creación</w:t>
      </w:r>
      <w:r w:rsidRPr="0042706A">
        <w:rPr>
          <w:rFonts w:cs="Arial"/>
          <w:lang w:val="es-ES"/>
        </w:rPr>
        <w:t xml:space="preserve"> de la patente unitaria. Posteriormente, otros 13 </w:t>
      </w:r>
      <w:r w:rsidR="00C2469C">
        <w:rPr>
          <w:rFonts w:cs="Arial"/>
          <w:lang w:val="es-ES"/>
        </w:rPr>
        <w:t>Estados</w:t>
      </w:r>
      <w:r w:rsidRPr="0042706A">
        <w:rPr>
          <w:rFonts w:cs="Arial"/>
          <w:lang w:val="es-ES"/>
        </w:rPr>
        <w:t xml:space="preserve"> </w:t>
      </w:r>
      <w:r w:rsidR="00C2469C">
        <w:rPr>
          <w:rFonts w:cs="Arial"/>
          <w:lang w:val="es-ES"/>
        </w:rPr>
        <w:t>Miembros</w:t>
      </w:r>
      <w:r w:rsidRPr="0042706A">
        <w:rPr>
          <w:rFonts w:cs="Arial"/>
          <w:lang w:val="es-ES"/>
        </w:rPr>
        <w:t xml:space="preserve"> se sumaron a esta cooperación reforzada</w:t>
      </w:r>
      <w:r w:rsidR="00E268E8">
        <w:rPr>
          <w:rFonts w:cs="Arial"/>
          <w:lang w:val="es-ES"/>
        </w:rPr>
        <w:t xml:space="preserve"> alcanzándose un total de 25 estados participantes, es decir, todos menos España, Italia y Croacia, país que por aquel entonces no era miembro de la Unión Europea</w:t>
      </w:r>
      <w:r w:rsidRPr="0042706A">
        <w:rPr>
          <w:rFonts w:cs="Arial"/>
          <w:lang w:val="es-ES"/>
        </w:rPr>
        <w:t>.</w:t>
      </w:r>
    </w:p>
    <w:p w14:paraId="42F9FF09" w14:textId="77777777" w:rsidR="0042706A" w:rsidRDefault="0042706A" w:rsidP="0042706A">
      <w:pPr>
        <w:ind w:left="0"/>
        <w:rPr>
          <w:rFonts w:cs="Arial"/>
          <w:lang w:val="es-ES"/>
        </w:rPr>
      </w:pPr>
    </w:p>
    <w:p w14:paraId="6E02A204" w14:textId="40FAF5DE" w:rsidR="003C167C" w:rsidRDefault="00E268E8" w:rsidP="006061ED">
      <w:pPr>
        <w:ind w:left="0" w:firstLine="360"/>
        <w:rPr>
          <w:rFonts w:cs="Arial"/>
          <w:lang w:val="es-ES"/>
        </w:rPr>
      </w:pPr>
      <w:r>
        <w:rPr>
          <w:rFonts w:cs="Arial"/>
          <w:lang w:val="es-ES"/>
        </w:rPr>
        <w:lastRenderedPageBreak/>
        <w:t xml:space="preserve">Hemos de recordar en que consiste el método de cooperación reforzada que los </w:t>
      </w:r>
      <w:r w:rsidR="00C2469C">
        <w:rPr>
          <w:rFonts w:cs="Arial"/>
          <w:lang w:val="es-ES"/>
        </w:rPr>
        <w:t>Estados</w:t>
      </w:r>
      <w:r>
        <w:rPr>
          <w:rFonts w:cs="Arial"/>
          <w:lang w:val="es-ES"/>
        </w:rPr>
        <w:t xml:space="preserve"> </w:t>
      </w:r>
      <w:r w:rsidR="00C2469C">
        <w:rPr>
          <w:rFonts w:cs="Arial"/>
          <w:lang w:val="es-ES"/>
        </w:rPr>
        <w:t>Miembros</w:t>
      </w:r>
      <w:r>
        <w:rPr>
          <w:rFonts w:cs="Arial"/>
          <w:lang w:val="es-ES"/>
        </w:rPr>
        <w:t xml:space="preserve"> decidieron usar para promover la patente unitaria debido a la imposibilidad de llegar a un acuerdo unánime en el régimen aplicable a las traducciones.</w:t>
      </w:r>
      <w:r w:rsidR="00F52BC7">
        <w:rPr>
          <w:rFonts w:cs="Arial"/>
          <w:lang w:val="es-ES"/>
        </w:rPr>
        <w:t xml:space="preserve"> </w:t>
      </w:r>
      <w:r>
        <w:rPr>
          <w:rFonts w:cs="Arial"/>
          <w:lang w:val="es-ES"/>
        </w:rPr>
        <w:t>El procedimiento de</w:t>
      </w:r>
      <w:r w:rsidR="00F52BC7">
        <w:rPr>
          <w:rFonts w:cs="Arial"/>
          <w:lang w:val="es-ES"/>
        </w:rPr>
        <w:t xml:space="preserve"> </w:t>
      </w:r>
      <w:r>
        <w:rPr>
          <w:rFonts w:cs="Arial"/>
          <w:lang w:val="es-ES"/>
        </w:rPr>
        <w:t>aprobación normativa conocido como cooperación reforzada (</w:t>
      </w:r>
      <w:r w:rsidRPr="006061ED">
        <w:rPr>
          <w:rFonts w:cs="Arial"/>
          <w:i/>
          <w:lang w:val="es-ES"/>
        </w:rPr>
        <w:t>enhanced cooperation</w:t>
      </w:r>
      <w:r>
        <w:rPr>
          <w:rFonts w:cs="Arial"/>
          <w:lang w:val="es-ES"/>
        </w:rPr>
        <w:t xml:space="preserve">) </w:t>
      </w:r>
      <w:r w:rsidR="00F52BC7">
        <w:rPr>
          <w:rFonts w:cs="Arial"/>
          <w:lang w:val="es-ES"/>
        </w:rPr>
        <w:t xml:space="preserve">nace con el Tratado de Ámsterdam en 1997 pero su estructura actual la alcanza en diciembre de 2007 con la firma del Tratado de Lisboa. A día de hoy el procedimiento de cooperación reforzada se encuentra recogido en el art. 20 del Tratado de la Unión Europea (TUE) y en los arts. </w:t>
      </w:r>
      <w:r w:rsidR="00F52BC7" w:rsidRPr="00F52BC7">
        <w:rPr>
          <w:rFonts w:cs="Arial"/>
          <w:lang w:val="es-ES"/>
        </w:rPr>
        <w:t xml:space="preserve">326 a 334 </w:t>
      </w:r>
      <w:r w:rsidR="00F52BC7">
        <w:rPr>
          <w:rFonts w:cs="Arial"/>
          <w:lang w:val="es-ES"/>
        </w:rPr>
        <w:t>del Tratado de Funcionamiento de la Unión Europea (</w:t>
      </w:r>
      <w:r w:rsidR="00F52BC7" w:rsidRPr="00F52BC7">
        <w:rPr>
          <w:rFonts w:cs="Arial"/>
          <w:lang w:val="es-ES"/>
        </w:rPr>
        <w:t>TFEU</w:t>
      </w:r>
      <w:r w:rsidR="00F52BC7">
        <w:rPr>
          <w:rFonts w:cs="Arial"/>
          <w:lang w:val="es-ES"/>
        </w:rPr>
        <w:t xml:space="preserve">). En </w:t>
      </w:r>
      <w:r w:rsidR="003F5E20">
        <w:rPr>
          <w:rFonts w:cs="Arial"/>
          <w:lang w:val="es-ES"/>
        </w:rPr>
        <w:t xml:space="preserve">este articulado </w:t>
      </w:r>
      <w:r w:rsidR="00F52BC7">
        <w:rPr>
          <w:rFonts w:cs="Arial"/>
          <w:lang w:val="es-ES"/>
        </w:rPr>
        <w:t>se establece</w:t>
      </w:r>
      <w:r w:rsidR="003F5E20">
        <w:rPr>
          <w:rFonts w:cs="Arial"/>
          <w:lang w:val="es-ES"/>
        </w:rPr>
        <w:t xml:space="preserve"> que </w:t>
      </w:r>
      <w:r w:rsidR="00F52BC7">
        <w:rPr>
          <w:rFonts w:cs="Arial"/>
          <w:lang w:val="es-ES"/>
        </w:rPr>
        <w:t>el uso del procedimiento de cooperación reforzada</w:t>
      </w:r>
      <w:r w:rsidR="00C2469C">
        <w:rPr>
          <w:rFonts w:cs="Arial"/>
          <w:lang w:val="es-ES"/>
        </w:rPr>
        <w:t xml:space="preserve"> se usará</w:t>
      </w:r>
      <w:r w:rsidR="003F5E20">
        <w:rPr>
          <w:rFonts w:cs="Arial"/>
          <w:lang w:val="es-ES"/>
        </w:rPr>
        <w:t>, como último recurso,</w:t>
      </w:r>
      <w:r w:rsidR="00C2469C">
        <w:rPr>
          <w:rFonts w:cs="Arial"/>
          <w:lang w:val="es-ES"/>
        </w:rPr>
        <w:t xml:space="preserve"> en caso de que</w:t>
      </w:r>
      <w:r w:rsidR="003C167C">
        <w:rPr>
          <w:rFonts w:cs="Arial"/>
          <w:lang w:val="es-ES"/>
        </w:rPr>
        <w:t>:</w:t>
      </w:r>
    </w:p>
    <w:p w14:paraId="188691DA" w14:textId="68825A95" w:rsidR="003C167C" w:rsidRDefault="003C167C" w:rsidP="00C2469C">
      <w:pPr>
        <w:ind w:left="0"/>
        <w:rPr>
          <w:rFonts w:cs="Arial"/>
          <w:lang w:val="es-ES"/>
        </w:rPr>
      </w:pPr>
    </w:p>
    <w:p w14:paraId="6B6EA50D" w14:textId="1A73D7F7" w:rsidR="003C167C" w:rsidRDefault="003C167C" w:rsidP="003C167C">
      <w:pPr>
        <w:pStyle w:val="Prrafodelista"/>
        <w:numPr>
          <w:ilvl w:val="0"/>
          <w:numId w:val="22"/>
        </w:numPr>
        <w:ind w:left="426" w:hanging="426"/>
        <w:rPr>
          <w:rFonts w:cs="Arial"/>
          <w:lang w:val="es-ES"/>
        </w:rPr>
      </w:pPr>
      <w:r w:rsidRPr="003C167C">
        <w:rPr>
          <w:rFonts w:cs="Arial"/>
          <w:lang w:val="es-ES"/>
        </w:rPr>
        <w:t>Sea</w:t>
      </w:r>
      <w:r w:rsidR="00C2469C" w:rsidRPr="003C167C">
        <w:rPr>
          <w:rFonts w:cs="Arial"/>
          <w:lang w:val="es-ES"/>
        </w:rPr>
        <w:t xml:space="preserve"> una materia que no sea competencia exclusiva de la Uni</w:t>
      </w:r>
      <w:r w:rsidRPr="003C167C">
        <w:rPr>
          <w:rFonts w:cs="Arial"/>
          <w:lang w:val="es-ES"/>
        </w:rPr>
        <w:t>ón.</w:t>
      </w:r>
    </w:p>
    <w:p w14:paraId="40961A08" w14:textId="36023EC3" w:rsidR="00F833EA" w:rsidRPr="003C167C" w:rsidRDefault="00F833EA" w:rsidP="003C167C">
      <w:pPr>
        <w:pStyle w:val="Prrafodelista"/>
        <w:numPr>
          <w:ilvl w:val="0"/>
          <w:numId w:val="22"/>
        </w:numPr>
        <w:ind w:left="426" w:hanging="426"/>
        <w:rPr>
          <w:rFonts w:cs="Arial"/>
          <w:lang w:val="es-ES"/>
        </w:rPr>
      </w:pPr>
      <w:r>
        <w:rPr>
          <w:rFonts w:cs="Arial"/>
          <w:lang w:val="es-ES"/>
        </w:rPr>
        <w:t>Sea utilizado como último recurso.</w:t>
      </w:r>
    </w:p>
    <w:p w14:paraId="25987611" w14:textId="6C11B648" w:rsidR="003C167C" w:rsidRPr="003C167C" w:rsidRDefault="003C167C" w:rsidP="003C167C">
      <w:pPr>
        <w:pStyle w:val="Prrafodelista"/>
        <w:numPr>
          <w:ilvl w:val="0"/>
          <w:numId w:val="22"/>
        </w:numPr>
        <w:ind w:left="426" w:hanging="426"/>
        <w:rPr>
          <w:rFonts w:cs="Arial"/>
          <w:lang w:val="es-ES"/>
        </w:rPr>
      </w:pPr>
      <w:r w:rsidRPr="003C167C">
        <w:rPr>
          <w:rFonts w:cs="Arial"/>
          <w:lang w:val="es-ES"/>
        </w:rPr>
        <w:t>No</w:t>
      </w:r>
      <w:r w:rsidR="00C2469C" w:rsidRPr="003C167C">
        <w:rPr>
          <w:rFonts w:cs="Arial"/>
          <w:lang w:val="es-ES"/>
        </w:rPr>
        <w:t xml:space="preserve"> haya sido posible alcanzar un acuerdo en un plazo razonable por la </w:t>
      </w:r>
      <w:r w:rsidRPr="003C167C">
        <w:rPr>
          <w:rFonts w:cs="Arial"/>
          <w:lang w:val="es-ES"/>
        </w:rPr>
        <w:t>UE en su conjunto.</w:t>
      </w:r>
    </w:p>
    <w:p w14:paraId="2423C47B" w14:textId="13C3EBF9" w:rsidR="003C167C" w:rsidRPr="003C167C" w:rsidRDefault="003C167C" w:rsidP="003C167C">
      <w:pPr>
        <w:pStyle w:val="Prrafodelista"/>
        <w:numPr>
          <w:ilvl w:val="0"/>
          <w:numId w:val="22"/>
        </w:numPr>
        <w:ind w:left="426" w:hanging="426"/>
        <w:rPr>
          <w:rFonts w:cs="Arial"/>
          <w:lang w:val="es-ES"/>
        </w:rPr>
      </w:pPr>
      <w:r w:rsidRPr="003C167C">
        <w:rPr>
          <w:rFonts w:cs="Arial"/>
          <w:lang w:val="es-ES"/>
        </w:rPr>
        <w:t>Q</w:t>
      </w:r>
      <w:r w:rsidR="00C2469C" w:rsidRPr="003C167C">
        <w:rPr>
          <w:rFonts w:cs="Arial"/>
          <w:lang w:val="es-ES"/>
        </w:rPr>
        <w:t xml:space="preserve">ue participen de ella al menos nueve Estados </w:t>
      </w:r>
      <w:r w:rsidRPr="003C167C">
        <w:rPr>
          <w:rFonts w:cs="Arial"/>
          <w:lang w:val="es-ES"/>
        </w:rPr>
        <w:t>Miembro</w:t>
      </w:r>
      <w:r>
        <w:rPr>
          <w:rFonts w:cs="Arial"/>
          <w:lang w:val="es-ES"/>
        </w:rPr>
        <w:t>s</w:t>
      </w:r>
      <w:r w:rsidRPr="003C167C">
        <w:rPr>
          <w:rFonts w:cs="Arial"/>
          <w:lang w:val="es-ES"/>
        </w:rPr>
        <w:t>.</w:t>
      </w:r>
    </w:p>
    <w:p w14:paraId="766E96E1" w14:textId="237B14A4" w:rsidR="003C167C" w:rsidRPr="003C167C" w:rsidRDefault="003C167C" w:rsidP="003C167C">
      <w:pPr>
        <w:pStyle w:val="Prrafodelista"/>
        <w:numPr>
          <w:ilvl w:val="0"/>
          <w:numId w:val="22"/>
        </w:numPr>
        <w:ind w:left="426" w:hanging="426"/>
        <w:rPr>
          <w:rFonts w:cs="Arial"/>
          <w:lang w:val="es-ES"/>
        </w:rPr>
      </w:pPr>
      <w:r w:rsidRPr="003C167C">
        <w:rPr>
          <w:rFonts w:cs="Arial"/>
          <w:lang w:val="es-ES"/>
        </w:rPr>
        <w:t xml:space="preserve">Que </w:t>
      </w:r>
      <w:r w:rsidR="003F5E20" w:rsidRPr="003C167C">
        <w:rPr>
          <w:rFonts w:cs="Arial"/>
          <w:lang w:val="es-ES"/>
        </w:rPr>
        <w:t xml:space="preserve">sea aprobada por el Consejo </w:t>
      </w:r>
      <w:r>
        <w:rPr>
          <w:rFonts w:cs="Arial"/>
          <w:lang w:val="es-ES"/>
        </w:rPr>
        <w:t xml:space="preserve">por unanimidad </w:t>
      </w:r>
      <w:r w:rsidRPr="003C167C">
        <w:rPr>
          <w:rFonts w:cs="Arial"/>
          <w:lang w:val="es-ES"/>
        </w:rPr>
        <w:t>mediante una decisión de autorizaci</w:t>
      </w:r>
      <w:r>
        <w:rPr>
          <w:rFonts w:cs="Arial"/>
          <w:lang w:val="es-ES"/>
        </w:rPr>
        <w:t xml:space="preserve">ón </w:t>
      </w:r>
      <w:r w:rsidRPr="003C167C">
        <w:rPr>
          <w:lang w:val="es-ES"/>
        </w:rPr>
        <w:t>a propuesta de la Comisión y previa aprobación del Parlamento Europeo.</w:t>
      </w:r>
    </w:p>
    <w:p w14:paraId="72393A82" w14:textId="000CA31A" w:rsidR="003C167C" w:rsidRDefault="003C167C" w:rsidP="00C2469C">
      <w:pPr>
        <w:ind w:left="0"/>
        <w:rPr>
          <w:rFonts w:cs="Arial"/>
          <w:lang w:val="es-ES"/>
        </w:rPr>
      </w:pPr>
    </w:p>
    <w:p w14:paraId="72D667A9" w14:textId="2F170507" w:rsidR="0042706A" w:rsidRDefault="00D32546" w:rsidP="006412F5">
      <w:pPr>
        <w:ind w:left="0" w:firstLine="360"/>
        <w:rPr>
          <w:rFonts w:cs="Arial"/>
          <w:lang w:val="es-ES"/>
        </w:rPr>
      </w:pPr>
      <w:r>
        <w:rPr>
          <w:rFonts w:cs="Arial"/>
          <w:noProof/>
          <w:lang w:val="es-ES" w:eastAsia="es-ES"/>
        </w:rPr>
        <w:drawing>
          <wp:anchor distT="0" distB="0" distL="114300" distR="114300" simplePos="0" relativeHeight="251603456" behindDoc="1" locked="0" layoutInCell="1" allowOverlap="1" wp14:anchorId="55A3BC4E" wp14:editId="324699D1">
            <wp:simplePos x="0" y="0"/>
            <wp:positionH relativeFrom="margin">
              <wp:align>right</wp:align>
            </wp:positionH>
            <wp:positionV relativeFrom="paragraph">
              <wp:posOffset>20955</wp:posOffset>
            </wp:positionV>
            <wp:extent cx="2251710" cy="3411220"/>
            <wp:effectExtent l="19050" t="19050" r="15240" b="17780"/>
            <wp:wrapTight wrapText="bothSides">
              <wp:wrapPolygon edited="0">
                <wp:start x="-183" y="-121"/>
                <wp:lineTo x="-183" y="21592"/>
                <wp:lineTo x="21563" y="21592"/>
                <wp:lineTo x="21563" y="-121"/>
                <wp:lineTo x="-183" y="-12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62).png"/>
                    <pic:cNvPicPr/>
                  </pic:nvPicPr>
                  <pic:blipFill rotWithShape="1">
                    <a:blip r:embed="rId14">
                      <a:extLst>
                        <a:ext uri="{28A0092B-C50C-407E-A947-70E740481C1C}">
                          <a14:useLocalDpi xmlns:a14="http://schemas.microsoft.com/office/drawing/2010/main" val="0"/>
                        </a:ext>
                      </a:extLst>
                    </a:blip>
                    <a:srcRect l="2153" t="1267" r="5957" b="2371"/>
                    <a:stretch/>
                  </pic:blipFill>
                  <pic:spPr bwMode="auto">
                    <a:xfrm>
                      <a:off x="0" y="0"/>
                      <a:ext cx="2251710" cy="3411220"/>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E20">
        <w:rPr>
          <w:rFonts w:cs="Arial"/>
          <w:lang w:val="es-ES"/>
        </w:rPr>
        <w:t>Los acuerdos adoptados</w:t>
      </w:r>
      <w:r w:rsidR="003C167C">
        <w:rPr>
          <w:rFonts w:cs="Arial"/>
          <w:lang w:val="es-ES"/>
        </w:rPr>
        <w:t>, en el seno de la estructura de la Unión Europea,</w:t>
      </w:r>
      <w:r w:rsidR="003F5E20">
        <w:rPr>
          <w:rFonts w:cs="Arial"/>
          <w:lang w:val="es-ES"/>
        </w:rPr>
        <w:t xml:space="preserve"> </w:t>
      </w:r>
      <w:r w:rsidR="003C167C">
        <w:rPr>
          <w:rFonts w:cs="Arial"/>
          <w:lang w:val="es-ES"/>
        </w:rPr>
        <w:t>por los estados participantes en l</w:t>
      </w:r>
      <w:r w:rsidR="003F5E20">
        <w:rPr>
          <w:rFonts w:cs="Arial"/>
          <w:lang w:val="es-ES"/>
        </w:rPr>
        <w:t xml:space="preserve">a cooperación reforzada vincularán únicamente a </w:t>
      </w:r>
      <w:r w:rsidR="003C167C">
        <w:rPr>
          <w:rFonts w:cs="Arial"/>
          <w:lang w:val="es-ES"/>
        </w:rPr>
        <w:t>ellos mismos, sin perjuicio de que cualquier Estado Miembro que no haya participado en la elaboración de la normativa pueda adherirse a ésta siempre y cuando cumpla con los requisitos adoptados por el Consejo en su autorización.</w:t>
      </w:r>
    </w:p>
    <w:p w14:paraId="0CA297E4" w14:textId="131608B7" w:rsidR="003C167C" w:rsidRDefault="003C167C" w:rsidP="00C2469C">
      <w:pPr>
        <w:ind w:left="0"/>
        <w:rPr>
          <w:rFonts w:cs="Arial"/>
          <w:lang w:val="es-ES"/>
        </w:rPr>
      </w:pPr>
    </w:p>
    <w:p w14:paraId="6367A2BA" w14:textId="50902049" w:rsidR="00D32546" w:rsidRDefault="003C167C" w:rsidP="006412F5">
      <w:pPr>
        <w:ind w:left="0" w:firstLine="360"/>
        <w:rPr>
          <w:rFonts w:cs="Arial"/>
          <w:lang w:val="es-ES"/>
        </w:rPr>
      </w:pPr>
      <w:r>
        <w:rPr>
          <w:rFonts w:cs="Arial"/>
          <w:lang w:val="es-ES"/>
        </w:rPr>
        <w:t xml:space="preserve">El procedimiento de cooperación reforzada, que no ha de confundirse con el sistema Op-Out, sólo </w:t>
      </w:r>
      <w:r w:rsidR="00D8159A">
        <w:rPr>
          <w:rFonts w:cs="Arial"/>
          <w:lang w:val="es-ES"/>
        </w:rPr>
        <w:t>ha sido autorizado por la UE</w:t>
      </w:r>
      <w:r>
        <w:rPr>
          <w:rFonts w:cs="Arial"/>
          <w:lang w:val="es-ES"/>
        </w:rPr>
        <w:t xml:space="preserve"> en do</w:t>
      </w:r>
      <w:r w:rsidR="00D8159A">
        <w:rPr>
          <w:rFonts w:cs="Arial"/>
          <w:lang w:val="es-ES"/>
        </w:rPr>
        <w:t>s</w:t>
      </w:r>
      <w:r>
        <w:rPr>
          <w:rFonts w:cs="Arial"/>
          <w:lang w:val="es-ES"/>
        </w:rPr>
        <w:t xml:space="preserve"> ocasiones desde su aprobación</w:t>
      </w:r>
      <w:r w:rsidR="00D8159A">
        <w:rPr>
          <w:rFonts w:cs="Arial"/>
          <w:lang w:val="es-ES"/>
        </w:rPr>
        <w:t xml:space="preserve"> en 1997</w:t>
      </w:r>
      <w:r>
        <w:rPr>
          <w:rFonts w:cs="Arial"/>
          <w:lang w:val="es-ES"/>
        </w:rPr>
        <w:t xml:space="preserve">: </w:t>
      </w:r>
      <w:r w:rsidR="00D8159A">
        <w:rPr>
          <w:rFonts w:cs="Arial"/>
          <w:lang w:val="es-ES"/>
        </w:rPr>
        <w:t xml:space="preserve">en primer lugar </w:t>
      </w:r>
      <w:r>
        <w:rPr>
          <w:rFonts w:cs="Arial"/>
          <w:lang w:val="es-ES"/>
        </w:rPr>
        <w:t>para la aprobaci</w:t>
      </w:r>
      <w:r w:rsidR="00D8159A">
        <w:rPr>
          <w:rFonts w:cs="Arial"/>
          <w:lang w:val="es-ES"/>
        </w:rPr>
        <w:t>ón de una normativa</w:t>
      </w:r>
      <w:r>
        <w:rPr>
          <w:rFonts w:cs="Arial"/>
          <w:lang w:val="es-ES"/>
        </w:rPr>
        <w:t xml:space="preserve"> sobre </w:t>
      </w:r>
      <w:r w:rsidR="00D8159A">
        <w:rPr>
          <w:rFonts w:cs="Arial"/>
          <w:lang w:val="es-ES"/>
        </w:rPr>
        <w:t xml:space="preserve">el </w:t>
      </w:r>
      <w:r>
        <w:rPr>
          <w:rFonts w:cs="Arial"/>
          <w:lang w:val="es-ES"/>
        </w:rPr>
        <w:t>divorcio</w:t>
      </w:r>
      <w:r w:rsidR="00D8159A">
        <w:rPr>
          <w:rFonts w:cs="Arial"/>
          <w:lang w:val="es-ES"/>
        </w:rPr>
        <w:t xml:space="preserve"> y en segundo para la aprobación de un régimen para la patente unitaria europea.</w:t>
      </w:r>
    </w:p>
    <w:p w14:paraId="4324CBE9" w14:textId="06E3B104" w:rsidR="00D32546" w:rsidRDefault="00D32546" w:rsidP="00C2469C">
      <w:pPr>
        <w:ind w:left="0"/>
        <w:rPr>
          <w:rFonts w:cs="Arial"/>
          <w:lang w:val="es-ES"/>
        </w:rPr>
      </w:pPr>
    </w:p>
    <w:p w14:paraId="097755CB" w14:textId="680A932F" w:rsidR="00D8159A" w:rsidRPr="00D32546" w:rsidRDefault="00D32546" w:rsidP="006412F5">
      <w:pPr>
        <w:ind w:left="0" w:firstLine="360"/>
        <w:rPr>
          <w:rFonts w:cs="Arial"/>
          <w:lang w:val="es-ES"/>
        </w:rPr>
      </w:pPr>
      <w:r>
        <w:rPr>
          <w:noProof/>
          <w:lang w:val="es-ES" w:eastAsia="es-ES"/>
        </w:rPr>
        <mc:AlternateContent>
          <mc:Choice Requires="wps">
            <w:drawing>
              <wp:anchor distT="0" distB="0" distL="114300" distR="114300" simplePos="0" relativeHeight="251644416" behindDoc="1" locked="0" layoutInCell="1" allowOverlap="1" wp14:anchorId="28D0E39F" wp14:editId="46365217">
                <wp:simplePos x="0" y="0"/>
                <wp:positionH relativeFrom="margin">
                  <wp:posOffset>3078480</wp:posOffset>
                </wp:positionH>
                <wp:positionV relativeFrom="paragraph">
                  <wp:posOffset>577215</wp:posOffset>
                </wp:positionV>
                <wp:extent cx="2322830" cy="635"/>
                <wp:effectExtent l="0" t="0" r="1270" b="5715"/>
                <wp:wrapTight wrapText="bothSides">
                  <wp:wrapPolygon edited="0">
                    <wp:start x="0" y="0"/>
                    <wp:lineTo x="0" y="20870"/>
                    <wp:lineTo x="21435" y="20870"/>
                    <wp:lineTo x="21435"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2322830" cy="635"/>
                        </a:xfrm>
                        <a:prstGeom prst="rect">
                          <a:avLst/>
                        </a:prstGeom>
                        <a:solidFill>
                          <a:prstClr val="white"/>
                        </a:solidFill>
                        <a:ln>
                          <a:noFill/>
                        </a:ln>
                        <a:effectLst/>
                      </wps:spPr>
                      <wps:txbx>
                        <w:txbxContent>
                          <w:p w14:paraId="5E06D87C" w14:textId="029948DF" w:rsidR="00A5627F" w:rsidRPr="00795BF2" w:rsidRDefault="00A5627F" w:rsidP="00D32546">
                            <w:pPr>
                              <w:pStyle w:val="Descripcin"/>
                              <w:jc w:val="center"/>
                              <w:rPr>
                                <w:rFonts w:cs="Arial"/>
                                <w:noProof/>
                                <w:lang w:val="es-ES"/>
                              </w:rPr>
                            </w:pPr>
                            <w:bookmarkStart w:id="17" w:name="_Toc400008706"/>
                            <w:bookmarkStart w:id="18" w:name="_Toc400525278"/>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3</w:t>
                            </w:r>
                            <w:r>
                              <w:fldChar w:fldCharType="end"/>
                            </w:r>
                            <w:r w:rsidRPr="00795BF2">
                              <w:rPr>
                                <w:lang w:val="es-ES"/>
                              </w:rPr>
                              <w:t xml:space="preserve"> - Estatus de los países del Convenio Europeo de Patentes en la regulación de la patente unitaria.</w:t>
                            </w:r>
                            <w:bookmarkEnd w:id="17"/>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D0E39F" id="Cuadro de texto 18" o:spid="_x0000_s1030" type="#_x0000_t202" style="position:absolute;left:0;text-align:left;margin-left:242.4pt;margin-top:45.45pt;width:182.9pt;height:.05pt;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" stroked="f">
                <v:textbox style="mso-fit-shape-to-text:t" inset="0,0,0,0">
                  <w:txbxContent>
                    <w:p w14:paraId="5E06D87C" w14:textId="029948DF" w:rsidR="00A5627F" w:rsidRPr="00795BF2" w:rsidRDefault="00A5627F" w:rsidP="00D32546">
                      <w:pPr>
                        <w:pStyle w:val="Descripcin"/>
                        <w:jc w:val="center"/>
                        <w:rPr>
                          <w:rFonts w:cs="Arial"/>
                          <w:noProof/>
                          <w:lang w:val="es-ES"/>
                        </w:rPr>
                      </w:pPr>
                      <w:bookmarkStart w:id="19" w:name="_Toc400008706"/>
                      <w:bookmarkStart w:id="20" w:name="_Toc400525278"/>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3</w:t>
                      </w:r>
                      <w:r>
                        <w:fldChar w:fldCharType="end"/>
                      </w:r>
                      <w:r w:rsidRPr="00795BF2">
                        <w:rPr>
                          <w:lang w:val="es-ES"/>
                        </w:rPr>
                        <w:t xml:space="preserve"> - Estatus de los países del Convenio Europeo de Patentes en la regulación de la patente unitaria.</w:t>
                      </w:r>
                      <w:bookmarkEnd w:id="19"/>
                      <w:bookmarkEnd w:id="20"/>
                    </w:p>
                  </w:txbxContent>
                </v:textbox>
                <w10:wrap type="tight" anchorx="margin"/>
              </v:shape>
            </w:pict>
          </mc:Fallback>
        </mc:AlternateContent>
      </w:r>
      <w:r w:rsidR="00D8159A">
        <w:rPr>
          <w:rFonts w:cs="Arial"/>
          <w:lang w:val="es-ES"/>
        </w:rPr>
        <w:t>No obstante, fue la segunda autorización la que ha generado una mayor controversia legal por el desacuerdo</w:t>
      </w:r>
      <w:r w:rsidR="007778FB">
        <w:rPr>
          <w:rFonts w:cs="Arial"/>
          <w:lang w:val="es-ES"/>
        </w:rPr>
        <w:t>, desde el primer momento,</w:t>
      </w:r>
      <w:r w:rsidR="00D8159A">
        <w:rPr>
          <w:rFonts w:cs="Arial"/>
          <w:lang w:val="es-ES"/>
        </w:rPr>
        <w:t xml:space="preserve"> de los gobiernos de España e Italia a la misma. Como ya he</w:t>
      </w:r>
      <w:r w:rsidR="007778FB">
        <w:rPr>
          <w:rFonts w:cs="Arial"/>
          <w:lang w:val="es-ES"/>
        </w:rPr>
        <w:t>mos</w:t>
      </w:r>
      <w:r w:rsidR="00D8159A">
        <w:rPr>
          <w:rFonts w:cs="Arial"/>
          <w:lang w:val="es-ES"/>
        </w:rPr>
        <w:t xml:space="preserve"> mencionado anteriormente los intentos para crear la patente unitaria en el seno de la Unión vienen de lejos</w:t>
      </w:r>
      <w:r w:rsidR="007778FB">
        <w:rPr>
          <w:rFonts w:cs="Arial"/>
          <w:lang w:val="es-ES"/>
        </w:rPr>
        <w:t>. S</w:t>
      </w:r>
      <w:r w:rsidR="00D8159A">
        <w:rPr>
          <w:rFonts w:cs="Arial"/>
          <w:lang w:val="es-ES"/>
        </w:rPr>
        <w:t>in embargo</w:t>
      </w:r>
      <w:r w:rsidR="007778FB">
        <w:rPr>
          <w:rFonts w:cs="Arial"/>
          <w:lang w:val="es-ES"/>
        </w:rPr>
        <w:t>, esto</w:t>
      </w:r>
      <w:r w:rsidR="00D8159A">
        <w:rPr>
          <w:rFonts w:cs="Arial"/>
          <w:lang w:val="es-ES"/>
        </w:rPr>
        <w:t xml:space="preserve"> nunca ha sido posible debido a la incapacidad de llegar a un acuerdo unánime en el régimen de las traducciones ya que Italia y España se oponían de una manera rotunda a que los idiomas en que habría de presentarse la documentación y, por tanto, los idiomas oficiales de los entes que rigen los asuntos de propiedad intelectual fueran el inglés, el francés y el alemán. Ante esta negativa constante a negociar los Estados Miembros más interesados en la aprobación de la patente unitaria promovieron la utilización de la cooperación reforzada</w:t>
      </w:r>
      <w:r w:rsidR="00964736">
        <w:rPr>
          <w:rFonts w:cs="Arial"/>
          <w:lang w:val="es-ES"/>
        </w:rPr>
        <w:t xml:space="preserve"> que fue aprobada por el Consejo mediante </w:t>
      </w:r>
      <w:r w:rsidR="00964736" w:rsidRPr="00964736">
        <w:rPr>
          <w:rFonts w:cs="Arial"/>
          <w:i/>
          <w:lang w:val="es-ES"/>
        </w:rPr>
        <w:t xml:space="preserve">“la </w:t>
      </w:r>
      <w:r w:rsidR="00964736">
        <w:rPr>
          <w:rFonts w:cs="Arial"/>
          <w:i/>
          <w:lang w:val="es-ES"/>
        </w:rPr>
        <w:t>Decisión 2011/167/UE</w:t>
      </w:r>
      <w:r w:rsidR="00964736" w:rsidRPr="00964736">
        <w:rPr>
          <w:rFonts w:cs="Arial"/>
          <w:i/>
          <w:lang w:val="es-ES"/>
        </w:rPr>
        <w:t xml:space="preserve">, de 10 de marzo de 2011, </w:t>
      </w:r>
      <w:r w:rsidR="00964736" w:rsidRPr="00964736">
        <w:rPr>
          <w:rFonts w:cs="Arial"/>
          <w:i/>
          <w:lang w:val="es-ES"/>
        </w:rPr>
        <w:lastRenderedPageBreak/>
        <w:t>por la que se autoriza una cooperación reforzada en el ámbito de la creación de protección mediante una patente unitaria”</w:t>
      </w:r>
      <w:r w:rsidR="00D8159A" w:rsidRPr="00964736">
        <w:rPr>
          <w:rFonts w:cs="Arial"/>
          <w:i/>
          <w:lang w:val="es-ES"/>
        </w:rPr>
        <w:t>.</w:t>
      </w:r>
    </w:p>
    <w:p w14:paraId="68E0DD79" w14:textId="718F69E7" w:rsidR="00D8159A" w:rsidRDefault="00D8159A" w:rsidP="00C2469C">
      <w:pPr>
        <w:ind w:left="0"/>
        <w:rPr>
          <w:rFonts w:cs="Arial"/>
          <w:lang w:val="es-ES"/>
        </w:rPr>
      </w:pPr>
    </w:p>
    <w:p w14:paraId="4B16388E" w14:textId="115608A3" w:rsidR="00046A2A" w:rsidRDefault="00E7416D" w:rsidP="006412F5">
      <w:pPr>
        <w:ind w:left="0" w:firstLine="360"/>
        <w:rPr>
          <w:rFonts w:cs="Arial"/>
          <w:lang w:val="es-ES"/>
        </w:rPr>
      </w:pPr>
      <w:r>
        <w:rPr>
          <w:rFonts w:cs="Arial"/>
          <w:lang w:val="es-ES"/>
        </w:rPr>
        <w:t xml:space="preserve">Los argumentos utilizados por el Gobierno de España para oponerse </w:t>
      </w:r>
      <w:r w:rsidR="00B83632">
        <w:rPr>
          <w:rFonts w:cs="Arial"/>
          <w:lang w:val="es-ES"/>
        </w:rPr>
        <w:t xml:space="preserve">ante la Corte de Justicia de la UE </w:t>
      </w:r>
      <w:r>
        <w:rPr>
          <w:rFonts w:cs="Arial"/>
          <w:lang w:val="es-ES"/>
        </w:rPr>
        <w:t>a la decisión de autorización del Consejo se d</w:t>
      </w:r>
      <w:r w:rsidR="00B83632">
        <w:rPr>
          <w:rFonts w:cs="Arial"/>
          <w:lang w:val="es-ES"/>
        </w:rPr>
        <w:t>ividieron</w:t>
      </w:r>
      <w:r>
        <w:rPr>
          <w:rFonts w:cs="Arial"/>
          <w:lang w:val="es-ES"/>
        </w:rPr>
        <w:t xml:space="preserve"> en dos frentes. Por un lado, </w:t>
      </w:r>
      <w:r w:rsidR="00B83632">
        <w:rPr>
          <w:rFonts w:cs="Arial"/>
          <w:lang w:val="es-ES"/>
        </w:rPr>
        <w:t xml:space="preserve">se </w:t>
      </w:r>
      <w:r>
        <w:rPr>
          <w:rFonts w:cs="Arial"/>
          <w:lang w:val="es-ES"/>
        </w:rPr>
        <w:t xml:space="preserve">estimó que existía una alternativa </w:t>
      </w:r>
      <w:r w:rsidR="00F833EA">
        <w:rPr>
          <w:rFonts w:cs="Arial"/>
          <w:lang w:val="es-ES"/>
        </w:rPr>
        <w:t xml:space="preserve">para los Estados Miembros </w:t>
      </w:r>
      <w:r>
        <w:rPr>
          <w:rFonts w:cs="Arial"/>
          <w:lang w:val="es-ES"/>
        </w:rPr>
        <w:t>a la cooperación reforzada que era llegar a un acuerdo especial de acuerdo con el Convenio Europeo de Patentes</w:t>
      </w:r>
      <w:r w:rsidR="00F833EA">
        <w:rPr>
          <w:rFonts w:cs="Arial"/>
          <w:lang w:val="es-ES"/>
        </w:rPr>
        <w:t xml:space="preserve"> y, por tanto, no era el último recurso que tenían a su disposición. Por el otro, se consideró que, incluso si la cooperación reforzada podía ser considerada permisible, el área para la que se concedía la autorización era una competencia exclusiva la Unión Europea (art. 20 TUE); la autorización violaba el principio de no discriminación y constituía un obstáculo al mercado común porque creaba</w:t>
      </w:r>
      <w:r w:rsidR="00046A2A">
        <w:rPr>
          <w:rFonts w:cs="Arial"/>
          <w:lang w:val="es-ES"/>
        </w:rPr>
        <w:t xml:space="preserve"> diferencias en el comercio y distorsiones en la competencia dentro del mercado (art. 326 TFUE); and, no respetaba los derechos de los estados no participantes en la cooperación reforzada (art. 327 TFUE).</w:t>
      </w:r>
      <w:r w:rsidR="00B83632">
        <w:rPr>
          <w:rFonts w:cs="Arial"/>
          <w:lang w:val="es-ES"/>
        </w:rPr>
        <w:t xml:space="preserve"> </w:t>
      </w:r>
      <w:r w:rsidR="00046A2A">
        <w:rPr>
          <w:rFonts w:cs="Arial"/>
          <w:lang w:val="es-ES"/>
        </w:rPr>
        <w:t>Los italianos usaron los mismos argumentos pero, además, consideraban que la autorización era contraria al espíritu del art. 118 de</w:t>
      </w:r>
      <w:r w:rsidR="00B83632">
        <w:rPr>
          <w:rFonts w:cs="Arial"/>
          <w:lang w:val="es-ES"/>
        </w:rPr>
        <w:t>l TFUE. Ambos casos se unieron en un solo proceso y en abril del 2013 la sentencia de la “Grand Chamber” de la Corte desestimo los recursos.</w:t>
      </w:r>
    </w:p>
    <w:p w14:paraId="7FD66232" w14:textId="133182C4" w:rsidR="009E18CF" w:rsidRDefault="009E18CF" w:rsidP="00046A2A">
      <w:pPr>
        <w:ind w:left="0"/>
        <w:rPr>
          <w:rFonts w:cs="Arial"/>
          <w:lang w:val="es-ES"/>
        </w:rPr>
      </w:pPr>
    </w:p>
    <w:p w14:paraId="6EC505FF" w14:textId="18575BA1" w:rsidR="00B83632" w:rsidRDefault="00B83632" w:rsidP="006412F5">
      <w:pPr>
        <w:ind w:left="0" w:firstLine="360"/>
        <w:rPr>
          <w:rFonts w:cs="Arial"/>
          <w:lang w:val="es-ES"/>
        </w:rPr>
      </w:pPr>
      <w:r>
        <w:rPr>
          <w:rFonts w:cs="Arial"/>
          <w:lang w:val="es-ES"/>
        </w:rPr>
        <w:t>Pues bien, a raíz de la utilización del procedimiento de cooperación reforzada</w:t>
      </w:r>
      <w:r w:rsidR="004902BD">
        <w:rPr>
          <w:rFonts w:cs="Arial"/>
          <w:lang w:val="es-ES"/>
        </w:rPr>
        <w:t xml:space="preserve"> </w:t>
      </w:r>
      <w:r w:rsidR="00E4435B">
        <w:rPr>
          <w:rFonts w:cs="Arial"/>
          <w:lang w:val="es-ES"/>
        </w:rPr>
        <w:t>se adoptó:</w:t>
      </w:r>
    </w:p>
    <w:p w14:paraId="291808DB" w14:textId="77777777" w:rsidR="00E4435B" w:rsidRDefault="00E4435B" w:rsidP="00046A2A">
      <w:pPr>
        <w:ind w:left="0"/>
        <w:rPr>
          <w:rFonts w:cs="Arial"/>
          <w:lang w:val="es-ES"/>
        </w:rPr>
      </w:pPr>
    </w:p>
    <w:p w14:paraId="457799E2" w14:textId="1AD939C7" w:rsidR="00E4435B" w:rsidRDefault="00E4435B" w:rsidP="00B60EDF">
      <w:pPr>
        <w:pStyle w:val="Prrafodelista"/>
        <w:numPr>
          <w:ilvl w:val="0"/>
          <w:numId w:val="23"/>
        </w:numPr>
        <w:ind w:left="426" w:hanging="426"/>
        <w:rPr>
          <w:rFonts w:cs="Arial"/>
          <w:lang w:val="es-ES"/>
        </w:rPr>
      </w:pPr>
      <w:r w:rsidRPr="00E4435B">
        <w:rPr>
          <w:rFonts w:cs="Arial"/>
          <w:lang w:val="es-ES"/>
        </w:rPr>
        <w:t xml:space="preserve">El reglamento 1257/2012 </w:t>
      </w:r>
      <w:r>
        <w:rPr>
          <w:rFonts w:cs="Arial"/>
          <w:lang w:val="es-ES"/>
        </w:rPr>
        <w:t>del Parlamento Europeo y del Consejo</w:t>
      </w:r>
      <w:r w:rsidRPr="00E4435B">
        <w:rPr>
          <w:rFonts w:cs="Arial"/>
          <w:lang w:val="es-ES"/>
        </w:rPr>
        <w:t xml:space="preserve"> de 17 de diciembre de 2012 por el que se establece una cooperación reforzada en el ámbito de la creación de una protección unitaria mediante patente.</w:t>
      </w:r>
    </w:p>
    <w:p w14:paraId="75038114" w14:textId="77777777" w:rsidR="00A552E5" w:rsidRDefault="00A552E5" w:rsidP="00A552E5">
      <w:pPr>
        <w:pStyle w:val="Prrafodelista"/>
        <w:ind w:left="426"/>
        <w:rPr>
          <w:rFonts w:cs="Arial"/>
          <w:lang w:val="es-ES"/>
        </w:rPr>
      </w:pPr>
    </w:p>
    <w:p w14:paraId="7406DB67" w14:textId="710EDF71" w:rsidR="0041357D" w:rsidRDefault="00D32546" w:rsidP="0041357D">
      <w:pPr>
        <w:pStyle w:val="Prrafodelista"/>
        <w:numPr>
          <w:ilvl w:val="0"/>
          <w:numId w:val="23"/>
        </w:numPr>
        <w:ind w:left="426" w:hanging="426"/>
        <w:rPr>
          <w:rFonts w:cs="Arial"/>
          <w:lang w:val="es-ES"/>
        </w:rPr>
      </w:pPr>
      <w:r>
        <w:rPr>
          <w:noProof/>
          <w:lang w:val="es-ES" w:eastAsia="es-ES"/>
        </w:rPr>
        <w:drawing>
          <wp:anchor distT="0" distB="0" distL="114300" distR="114300" simplePos="0" relativeHeight="251607552" behindDoc="1" locked="0" layoutInCell="1" allowOverlap="1" wp14:anchorId="2CC8ED43" wp14:editId="05AF6593">
            <wp:simplePos x="0" y="0"/>
            <wp:positionH relativeFrom="margin">
              <wp:align>right</wp:align>
            </wp:positionH>
            <wp:positionV relativeFrom="paragraph">
              <wp:posOffset>785586</wp:posOffset>
            </wp:positionV>
            <wp:extent cx="1772920" cy="3151505"/>
            <wp:effectExtent l="19050" t="19050" r="17780" b="10795"/>
            <wp:wrapTight wrapText="bothSides">
              <wp:wrapPolygon edited="0">
                <wp:start x="-232" y="-131"/>
                <wp:lineTo x="-232" y="21543"/>
                <wp:lineTo x="21585" y="21543"/>
                <wp:lineTo x="21585" y="-131"/>
                <wp:lineTo x="-232" y="-131"/>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65).png"/>
                    <pic:cNvPicPr/>
                  </pic:nvPicPr>
                  <pic:blipFill rotWithShape="1">
                    <a:blip r:embed="rId15" cstate="print">
                      <a:extLst>
                        <a:ext uri="{28A0092B-C50C-407E-A947-70E740481C1C}">
                          <a14:useLocalDpi xmlns:a14="http://schemas.microsoft.com/office/drawing/2010/main" val="0"/>
                        </a:ext>
                      </a:extLst>
                    </a:blip>
                    <a:srcRect l="4954" t="3379" r="21248" b="1772"/>
                    <a:stretch/>
                  </pic:blipFill>
                  <pic:spPr bwMode="auto">
                    <a:xfrm>
                      <a:off x="0" y="0"/>
                      <a:ext cx="1772920" cy="3151505"/>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EDF">
        <w:rPr>
          <w:rFonts w:cs="Arial"/>
          <w:lang w:val="es-ES"/>
        </w:rPr>
        <w:t>El reglamento</w:t>
      </w:r>
      <w:r w:rsidR="00B60EDF" w:rsidRPr="00B60EDF">
        <w:rPr>
          <w:rFonts w:cs="Arial"/>
          <w:lang w:val="es-ES"/>
        </w:rPr>
        <w:t xml:space="preserve"> 1260/2012 </w:t>
      </w:r>
      <w:r w:rsidR="00B60EDF">
        <w:rPr>
          <w:rFonts w:cs="Arial"/>
          <w:lang w:val="es-ES"/>
        </w:rPr>
        <w:t xml:space="preserve">del consejo </w:t>
      </w:r>
      <w:r w:rsidR="00B60EDF" w:rsidRPr="00B60EDF">
        <w:rPr>
          <w:rFonts w:cs="Arial"/>
          <w:lang w:val="es-ES"/>
        </w:rPr>
        <w:t>de 17 de diciembre de 2012 por el que se establece una cooperación reforzada en el ámbito de la creación de una protección unitaria mediante patente en lo que atañe a las disposiciones sobre traducción</w:t>
      </w:r>
      <w:r w:rsidR="00B60EDF">
        <w:rPr>
          <w:rFonts w:cs="Arial"/>
          <w:lang w:val="es-ES"/>
        </w:rPr>
        <w:t>.</w:t>
      </w:r>
      <w:r w:rsidR="00346081">
        <w:rPr>
          <w:rFonts w:cs="Arial"/>
          <w:lang w:val="es-ES"/>
        </w:rPr>
        <w:t xml:space="preserve"> Este reglamento en su artículo sexto establece un sistema transitorio de 6 años durante los cuales será necesario presentar la documentación de la patente en inglés, francés o alemán. No obstante deja la puerta abierta a, que una vez finalizado este periodo transitorio, la posibilidad de que un comité de expertos considere que las innovaciones en el campo de las traducciones automatizadas avancen lo suficiente como para permitir la presentación de documentación en idiomas distintos a los anteriores.</w:t>
      </w:r>
    </w:p>
    <w:p w14:paraId="2D9177F2" w14:textId="4D4B78BF" w:rsidR="005E78BD" w:rsidRDefault="005E78BD" w:rsidP="005E78BD">
      <w:pPr>
        <w:ind w:left="0"/>
        <w:rPr>
          <w:rFonts w:cs="Arial"/>
          <w:lang w:val="es-ES"/>
        </w:rPr>
      </w:pPr>
    </w:p>
    <w:p w14:paraId="2EB70A0D" w14:textId="3F5BC657" w:rsidR="005E78BD" w:rsidRDefault="005E78BD" w:rsidP="006412F5">
      <w:pPr>
        <w:ind w:left="0" w:firstLine="360"/>
        <w:rPr>
          <w:rFonts w:cs="Arial"/>
          <w:lang w:val="es-ES"/>
        </w:rPr>
      </w:pPr>
      <w:r w:rsidRPr="005E78BD">
        <w:rPr>
          <w:rFonts w:cs="Arial"/>
          <w:lang w:val="es-ES"/>
        </w:rPr>
        <w:t>Estas dos regulaciones entraron en vig</w:t>
      </w:r>
      <w:r>
        <w:rPr>
          <w:rFonts w:cs="Arial"/>
          <w:lang w:val="es-ES"/>
        </w:rPr>
        <w:t xml:space="preserve">or el 20 de enero de 20013 y se acordó que serían aplicables, dependiendo de que ocurriera más tarde, </w:t>
      </w:r>
      <w:r w:rsidR="0070513C">
        <w:rPr>
          <w:rFonts w:cs="Arial"/>
          <w:lang w:val="es-ES"/>
        </w:rPr>
        <w:t>o</w:t>
      </w:r>
      <w:r>
        <w:rPr>
          <w:rFonts w:cs="Arial"/>
          <w:lang w:val="es-ES"/>
        </w:rPr>
        <w:t>:</w:t>
      </w:r>
    </w:p>
    <w:p w14:paraId="6B18D12F" w14:textId="07523587" w:rsidR="005E78BD" w:rsidRDefault="005E78BD" w:rsidP="005E78BD">
      <w:pPr>
        <w:ind w:left="0"/>
        <w:rPr>
          <w:rFonts w:cs="Arial"/>
          <w:lang w:val="es-ES"/>
        </w:rPr>
      </w:pPr>
    </w:p>
    <w:p w14:paraId="00A85997" w14:textId="43838C5E" w:rsidR="00346081" w:rsidRDefault="0070513C" w:rsidP="00346081">
      <w:pPr>
        <w:pStyle w:val="Prrafodelista"/>
        <w:numPr>
          <w:ilvl w:val="0"/>
          <w:numId w:val="24"/>
        </w:numPr>
        <w:ind w:left="0" w:firstLine="0"/>
        <w:rPr>
          <w:rFonts w:cs="Arial"/>
          <w:lang w:val="es-ES"/>
        </w:rPr>
      </w:pPr>
      <w:r w:rsidRPr="0070513C">
        <w:rPr>
          <w:rFonts w:cs="Arial"/>
          <w:lang w:val="es-ES"/>
        </w:rPr>
        <w:t>Desde</w:t>
      </w:r>
      <w:r w:rsidR="005E78BD" w:rsidRPr="0070513C">
        <w:rPr>
          <w:rFonts w:cs="Arial"/>
          <w:lang w:val="es-ES"/>
        </w:rPr>
        <w:t xml:space="preserve"> el 1 de enero de 2014.</w:t>
      </w:r>
    </w:p>
    <w:p w14:paraId="36698F95" w14:textId="2B7408C6" w:rsidR="00346081" w:rsidRPr="00346081" w:rsidRDefault="00346081" w:rsidP="00346081">
      <w:pPr>
        <w:pStyle w:val="Prrafodelista"/>
        <w:ind w:left="0"/>
        <w:rPr>
          <w:rFonts w:cs="Arial"/>
          <w:lang w:val="es-ES"/>
        </w:rPr>
      </w:pPr>
    </w:p>
    <w:p w14:paraId="587ACE77" w14:textId="7B9F60F7" w:rsidR="00346081" w:rsidRDefault="0070513C" w:rsidP="00346081">
      <w:pPr>
        <w:pStyle w:val="Prrafodelista"/>
        <w:numPr>
          <w:ilvl w:val="0"/>
          <w:numId w:val="24"/>
        </w:numPr>
        <w:ind w:left="0" w:firstLine="0"/>
        <w:rPr>
          <w:rFonts w:cs="Arial"/>
          <w:lang w:val="es-ES"/>
        </w:rPr>
      </w:pPr>
      <w:r w:rsidRPr="0070513C">
        <w:rPr>
          <w:rFonts w:cs="Arial"/>
          <w:lang w:val="es-ES"/>
        </w:rPr>
        <w:t>Desde</w:t>
      </w:r>
      <w:r w:rsidR="005E78BD" w:rsidRPr="0070513C">
        <w:rPr>
          <w:rFonts w:cs="Arial"/>
          <w:lang w:val="es-ES"/>
        </w:rPr>
        <w:t xml:space="preserve"> el momento de la entrada en vigor del Acuerdo de la Corte Unificada</w:t>
      </w:r>
      <w:r>
        <w:rPr>
          <w:rFonts w:cs="Arial"/>
          <w:lang w:val="es-ES"/>
        </w:rPr>
        <w:t xml:space="preserve"> </w:t>
      </w:r>
      <w:r w:rsidR="005E78BD" w:rsidRPr="0070513C">
        <w:rPr>
          <w:rFonts w:cs="Arial"/>
          <w:lang w:val="es-ES"/>
        </w:rPr>
        <w:t>de Patentes</w:t>
      </w:r>
      <w:r>
        <w:rPr>
          <w:rFonts w:cs="Arial"/>
          <w:lang w:val="es-ES"/>
        </w:rPr>
        <w:t>.</w:t>
      </w:r>
    </w:p>
    <w:p w14:paraId="4E401666" w14:textId="48148462" w:rsidR="00346081" w:rsidRDefault="00346081" w:rsidP="00346081">
      <w:pPr>
        <w:pStyle w:val="Prrafodelista"/>
        <w:ind w:left="0"/>
        <w:rPr>
          <w:rFonts w:cs="Arial"/>
          <w:lang w:val="es-ES"/>
        </w:rPr>
      </w:pPr>
    </w:p>
    <w:p w14:paraId="76AED4B1" w14:textId="562790C5" w:rsidR="0070513C" w:rsidRPr="00346081" w:rsidRDefault="00D32546" w:rsidP="00346081">
      <w:pPr>
        <w:pStyle w:val="Prrafodelista"/>
        <w:ind w:left="0"/>
        <w:rPr>
          <w:rFonts w:cs="Arial"/>
          <w:lang w:val="es-ES"/>
        </w:rPr>
      </w:pPr>
      <w:r>
        <w:rPr>
          <w:noProof/>
          <w:lang w:val="es-ES" w:eastAsia="es-ES"/>
        </w:rPr>
        <mc:AlternateContent>
          <mc:Choice Requires="wps">
            <w:drawing>
              <wp:anchor distT="0" distB="0" distL="114300" distR="114300" simplePos="0" relativeHeight="251608576" behindDoc="1" locked="0" layoutInCell="1" allowOverlap="1" wp14:anchorId="5D62148A" wp14:editId="37C719BE">
                <wp:simplePos x="0" y="0"/>
                <wp:positionH relativeFrom="margin">
                  <wp:align>right</wp:align>
                </wp:positionH>
                <wp:positionV relativeFrom="paragraph">
                  <wp:posOffset>320856</wp:posOffset>
                </wp:positionV>
                <wp:extent cx="1821180" cy="635"/>
                <wp:effectExtent l="0" t="0" r="7620" b="7620"/>
                <wp:wrapTight wrapText="bothSides">
                  <wp:wrapPolygon edited="0">
                    <wp:start x="0" y="0"/>
                    <wp:lineTo x="0" y="21130"/>
                    <wp:lineTo x="21464" y="21130"/>
                    <wp:lineTo x="21464" y="0"/>
                    <wp:lineTo x="0" y="0"/>
                  </wp:wrapPolygon>
                </wp:wrapTight>
                <wp:docPr id="12" name="Cuadro de texto 12"/>
                <wp:cNvGraphicFramePr/>
                <a:graphic xmlns:a="http://schemas.openxmlformats.org/drawingml/2006/main">
                  <a:graphicData uri="http://schemas.microsoft.com/office/word/2010/wordprocessingShape">
                    <wps:wsp>
                      <wps:cNvSpPr txBox="1"/>
                      <wps:spPr>
                        <a:xfrm>
                          <a:off x="0" y="0"/>
                          <a:ext cx="1821180" cy="635"/>
                        </a:xfrm>
                        <a:prstGeom prst="rect">
                          <a:avLst/>
                        </a:prstGeom>
                        <a:solidFill>
                          <a:prstClr val="white"/>
                        </a:solidFill>
                        <a:ln>
                          <a:noFill/>
                        </a:ln>
                        <a:effectLst/>
                      </wps:spPr>
                      <wps:txbx>
                        <w:txbxContent>
                          <w:p w14:paraId="4D8F2A41" w14:textId="37ED1902" w:rsidR="00A5627F" w:rsidRPr="00254CF3" w:rsidRDefault="00A5627F" w:rsidP="00795BF2">
                            <w:pPr>
                              <w:pStyle w:val="Descripcin"/>
                              <w:jc w:val="center"/>
                              <w:rPr>
                                <w:rFonts w:cs="Arial"/>
                                <w:noProof/>
                                <w:lang w:val="es-ES"/>
                              </w:rPr>
                            </w:pPr>
                            <w:bookmarkStart w:id="21" w:name="_Toc399754054"/>
                            <w:bookmarkStart w:id="22" w:name="_Toc400008707"/>
                            <w:bookmarkStart w:id="23" w:name="_Toc400525279"/>
                            <w:r w:rsidRPr="00254CF3">
                              <w:rPr>
                                <w:lang w:val="es-ES"/>
                              </w:rPr>
                              <w:t xml:space="preserve">Ilustración </w:t>
                            </w:r>
                            <w:r>
                              <w:rPr>
                                <w:lang w:val="es-ES"/>
                              </w:rPr>
                              <w:fldChar w:fldCharType="begin"/>
                            </w:r>
                            <w:r>
                              <w:rPr>
                                <w:lang w:val="es-ES"/>
                              </w:rPr>
                              <w:instrText xml:space="preserve"> SEQ Ilustración \* ARABIC </w:instrText>
                            </w:r>
                            <w:r>
                              <w:rPr>
                                <w:lang w:val="es-ES"/>
                              </w:rPr>
                              <w:fldChar w:fldCharType="separate"/>
                            </w:r>
                            <w:r w:rsidR="0099684C">
                              <w:rPr>
                                <w:noProof/>
                                <w:lang w:val="es-ES"/>
                              </w:rPr>
                              <w:t>4</w:t>
                            </w:r>
                            <w:r>
                              <w:rPr>
                                <w:lang w:val="es-ES"/>
                              </w:rPr>
                              <w:fldChar w:fldCharType="end"/>
                            </w:r>
                            <w:r w:rsidRPr="00254CF3">
                              <w:rPr>
                                <w:lang w:val="es-ES"/>
                              </w:rPr>
                              <w:t xml:space="preserve"> - Estado de los países europeos respecto al Acuerdo de la Corte Unificada de Patentes.</w:t>
                            </w:r>
                            <w:bookmarkEnd w:id="21"/>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62148A" id="Cuadro de texto 12" o:spid="_x0000_s1031" type="#_x0000_t202" style="position:absolute;left:0;text-align:left;margin-left:92.2pt;margin-top:25.25pt;width:143.4pt;height:.05pt;z-index:-251707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" stroked="f">
                <v:textbox style="mso-fit-shape-to-text:t" inset="0,0,0,0">
                  <w:txbxContent>
                    <w:p w14:paraId="4D8F2A41" w14:textId="37ED1902" w:rsidR="00A5627F" w:rsidRPr="00254CF3" w:rsidRDefault="00A5627F" w:rsidP="00795BF2">
                      <w:pPr>
                        <w:pStyle w:val="Descripcin"/>
                        <w:jc w:val="center"/>
                        <w:rPr>
                          <w:rFonts w:cs="Arial"/>
                          <w:noProof/>
                          <w:lang w:val="es-ES"/>
                        </w:rPr>
                      </w:pPr>
                      <w:bookmarkStart w:id="24" w:name="_Toc399754054"/>
                      <w:bookmarkStart w:id="25" w:name="_Toc400008707"/>
                      <w:bookmarkStart w:id="26" w:name="_Toc400525279"/>
                      <w:r w:rsidRPr="00254CF3">
                        <w:rPr>
                          <w:lang w:val="es-ES"/>
                        </w:rPr>
                        <w:t xml:space="preserve">Ilustración </w:t>
                      </w:r>
                      <w:r>
                        <w:rPr>
                          <w:lang w:val="es-ES"/>
                        </w:rPr>
                        <w:fldChar w:fldCharType="begin"/>
                      </w:r>
                      <w:r>
                        <w:rPr>
                          <w:lang w:val="es-ES"/>
                        </w:rPr>
                        <w:instrText xml:space="preserve"> SEQ Ilustración \* ARABIC </w:instrText>
                      </w:r>
                      <w:r>
                        <w:rPr>
                          <w:lang w:val="es-ES"/>
                        </w:rPr>
                        <w:fldChar w:fldCharType="separate"/>
                      </w:r>
                      <w:r w:rsidR="0099684C">
                        <w:rPr>
                          <w:noProof/>
                          <w:lang w:val="es-ES"/>
                        </w:rPr>
                        <w:t>4</w:t>
                      </w:r>
                      <w:r>
                        <w:rPr>
                          <w:lang w:val="es-ES"/>
                        </w:rPr>
                        <w:fldChar w:fldCharType="end"/>
                      </w:r>
                      <w:r w:rsidRPr="00254CF3">
                        <w:rPr>
                          <w:lang w:val="es-ES"/>
                        </w:rPr>
                        <w:t xml:space="preserve"> - Estado de los países europeos respecto al Acuerdo de la Corte Unificada de Patentes.</w:t>
                      </w:r>
                      <w:bookmarkEnd w:id="24"/>
                      <w:bookmarkEnd w:id="25"/>
                      <w:bookmarkEnd w:id="26"/>
                    </w:p>
                  </w:txbxContent>
                </v:textbox>
                <w10:wrap type="tight" anchorx="margin"/>
              </v:shape>
            </w:pict>
          </mc:Fallback>
        </mc:AlternateContent>
      </w:r>
      <w:r w:rsidR="0070513C" w:rsidRPr="00346081">
        <w:rPr>
          <w:rFonts w:cs="Arial"/>
          <w:lang w:val="es-ES"/>
        </w:rPr>
        <w:t>Esto nos lleva a hablar de la Corte Unificada de Patentes. El Acuerdo de la Corte Unificada de Patentes se firmó el 19 de febrero de 2013 por 25 Estados Miembros de la Unión</w:t>
      </w:r>
      <w:r w:rsidR="00B72BC9" w:rsidRPr="00346081">
        <w:rPr>
          <w:rFonts w:cs="Arial"/>
          <w:lang w:val="es-ES"/>
        </w:rPr>
        <w:t xml:space="preserve"> (todos menos </w:t>
      </w:r>
      <w:r w:rsidR="0070513C" w:rsidRPr="00346081">
        <w:rPr>
          <w:rFonts w:cs="Arial"/>
          <w:lang w:val="es-ES"/>
        </w:rPr>
        <w:t>España</w:t>
      </w:r>
      <w:r w:rsidR="00B72BC9" w:rsidRPr="00346081">
        <w:rPr>
          <w:rFonts w:cs="Arial"/>
          <w:lang w:val="es-ES"/>
        </w:rPr>
        <w:t>, Croacia y Polonia</w:t>
      </w:r>
      <w:r w:rsidR="005006AD" w:rsidRPr="00346081">
        <w:rPr>
          <w:rFonts w:cs="Arial"/>
          <w:lang w:val="es-ES"/>
        </w:rPr>
        <w:t>, nótese que si ha sido firmado por Italia</w:t>
      </w:r>
      <w:r w:rsidR="0070513C" w:rsidRPr="00346081">
        <w:rPr>
          <w:rFonts w:cs="Arial"/>
          <w:lang w:val="es-ES"/>
        </w:rPr>
        <w:t xml:space="preserve">). </w:t>
      </w:r>
      <w:r w:rsidR="00FB4103" w:rsidRPr="00346081">
        <w:rPr>
          <w:rFonts w:cs="Arial"/>
          <w:lang w:val="es-ES"/>
        </w:rPr>
        <w:t xml:space="preserve">El art. </w:t>
      </w:r>
      <w:r w:rsidR="00FB4103" w:rsidRPr="00346081">
        <w:rPr>
          <w:rFonts w:cs="Arial"/>
          <w:lang w:val="es-ES"/>
        </w:rPr>
        <w:lastRenderedPageBreak/>
        <w:t>89.1 del acuerdo regula su entrada en vigor de la siguiente manera:</w:t>
      </w:r>
    </w:p>
    <w:p w14:paraId="12AADE1F" w14:textId="43B20C58" w:rsidR="00FB4103" w:rsidRDefault="00FB4103" w:rsidP="005E78BD">
      <w:pPr>
        <w:ind w:left="0"/>
        <w:rPr>
          <w:rFonts w:cs="Arial"/>
          <w:lang w:val="es-ES"/>
        </w:rPr>
      </w:pPr>
    </w:p>
    <w:p w14:paraId="52A0EBFD" w14:textId="596B9048" w:rsidR="00B72BC9" w:rsidRPr="006412F5" w:rsidRDefault="00FB4103" w:rsidP="006412F5">
      <w:pPr>
        <w:ind w:left="567" w:right="567"/>
        <w:rPr>
          <w:rFonts w:cs="Arial"/>
          <w:color w:val="7F7F7F" w:themeColor="text1" w:themeTint="80"/>
          <w:lang w:val="es-ES"/>
        </w:rPr>
      </w:pPr>
      <w:r w:rsidRPr="006412F5">
        <w:rPr>
          <w:rFonts w:cs="Arial"/>
          <w:color w:val="7F7F7F" w:themeColor="text1" w:themeTint="80"/>
          <w:lang w:val="es-ES"/>
        </w:rPr>
        <w:t>“El presente acuerdo entrara en vigor en aquel de los siguientes momentos que se produzca en último lugar:</w:t>
      </w:r>
    </w:p>
    <w:p w14:paraId="06F1221C" w14:textId="265BF6FE" w:rsidR="00B72BC9" w:rsidRPr="006412F5" w:rsidRDefault="00B72BC9" w:rsidP="006412F5">
      <w:pPr>
        <w:ind w:left="567" w:right="567"/>
        <w:rPr>
          <w:rFonts w:cs="Arial"/>
          <w:color w:val="7F7F7F" w:themeColor="text1" w:themeTint="80"/>
          <w:lang w:val="es-ES"/>
        </w:rPr>
      </w:pPr>
    </w:p>
    <w:p w14:paraId="6BCE6F2D" w14:textId="7376B3AF" w:rsidR="00B72BC9" w:rsidRPr="006412F5" w:rsidRDefault="00FB4103" w:rsidP="006412F5">
      <w:pPr>
        <w:pStyle w:val="Prrafodelista"/>
        <w:numPr>
          <w:ilvl w:val="0"/>
          <w:numId w:val="25"/>
        </w:numPr>
        <w:tabs>
          <w:tab w:val="left" w:pos="0"/>
        </w:tabs>
        <w:ind w:left="567" w:right="567" w:firstLine="0"/>
        <w:rPr>
          <w:rFonts w:cs="Arial"/>
          <w:color w:val="7F7F7F" w:themeColor="text1" w:themeTint="80"/>
          <w:lang w:val="es-ES"/>
        </w:rPr>
      </w:pPr>
      <w:r w:rsidRPr="006412F5">
        <w:rPr>
          <w:rFonts w:cs="Arial"/>
          <w:color w:val="7F7F7F" w:themeColor="text1" w:themeTint="80"/>
          <w:lang w:val="es-ES"/>
        </w:rPr>
        <w:t>el 1 de enero de 2014</w:t>
      </w:r>
      <w:r w:rsidR="00B72BC9" w:rsidRPr="006412F5">
        <w:rPr>
          <w:rFonts w:cs="Arial"/>
          <w:color w:val="7F7F7F" w:themeColor="text1" w:themeTint="80"/>
          <w:lang w:val="es-ES"/>
        </w:rPr>
        <w:t>;</w:t>
      </w:r>
    </w:p>
    <w:p w14:paraId="6C335308" w14:textId="77777777" w:rsidR="00D32546" w:rsidRPr="006412F5" w:rsidRDefault="00D32546" w:rsidP="006412F5">
      <w:pPr>
        <w:pStyle w:val="Prrafodelista"/>
        <w:tabs>
          <w:tab w:val="left" w:pos="0"/>
        </w:tabs>
        <w:ind w:left="567" w:right="567"/>
        <w:rPr>
          <w:rFonts w:cs="Arial"/>
          <w:color w:val="7F7F7F" w:themeColor="text1" w:themeTint="80"/>
          <w:lang w:val="es-ES"/>
        </w:rPr>
      </w:pPr>
    </w:p>
    <w:p w14:paraId="56082813" w14:textId="148C248C" w:rsidR="00B72BC9" w:rsidRPr="006412F5" w:rsidRDefault="00FB4103" w:rsidP="006412F5">
      <w:pPr>
        <w:pStyle w:val="Prrafodelista"/>
        <w:numPr>
          <w:ilvl w:val="0"/>
          <w:numId w:val="25"/>
        </w:numPr>
        <w:tabs>
          <w:tab w:val="left" w:pos="0"/>
        </w:tabs>
        <w:ind w:left="567" w:right="567" w:firstLine="0"/>
        <w:rPr>
          <w:rFonts w:cs="Arial"/>
          <w:color w:val="7F7F7F" w:themeColor="text1" w:themeTint="80"/>
          <w:lang w:val="es-ES"/>
        </w:rPr>
      </w:pPr>
      <w:r w:rsidRPr="006412F5">
        <w:rPr>
          <w:rFonts w:cs="Arial"/>
          <w:color w:val="7F7F7F" w:themeColor="text1" w:themeTint="80"/>
          <w:lang w:val="es-ES"/>
        </w:rPr>
        <w:t xml:space="preserve">el primer día del cuarto mes siguiente a aquel en el curso del cual se haya depositado el décimo tercer instrumento de ratificación o adhesión, siempre que entre dichos instrumentos se encuentren los de los tres Estados Miembros (Reino Unido, Francia y Alemania) en los que haya tenido efectos el mayor número de patentes europeas el año </w:t>
      </w:r>
      <w:r w:rsidR="00B72BC9" w:rsidRPr="006412F5">
        <w:rPr>
          <w:rFonts w:cs="Arial"/>
          <w:color w:val="7F7F7F" w:themeColor="text1" w:themeTint="80"/>
          <w:lang w:val="es-ES"/>
        </w:rPr>
        <w:t>anterior a la firma del Acuerdo;</w:t>
      </w:r>
    </w:p>
    <w:p w14:paraId="7E9AD28B" w14:textId="77777777" w:rsidR="00D32546" w:rsidRPr="006412F5" w:rsidRDefault="00D32546" w:rsidP="006412F5">
      <w:pPr>
        <w:pStyle w:val="Prrafodelista"/>
        <w:tabs>
          <w:tab w:val="left" w:pos="0"/>
        </w:tabs>
        <w:ind w:left="567" w:right="567"/>
        <w:rPr>
          <w:rFonts w:cs="Arial"/>
          <w:color w:val="7F7F7F" w:themeColor="text1" w:themeTint="80"/>
          <w:lang w:val="es-ES"/>
        </w:rPr>
      </w:pPr>
    </w:p>
    <w:p w14:paraId="4017F9CB" w14:textId="3EFA919D" w:rsidR="00FB4103" w:rsidRPr="006412F5" w:rsidRDefault="00FB4103" w:rsidP="006412F5">
      <w:pPr>
        <w:pStyle w:val="Prrafodelista"/>
        <w:numPr>
          <w:ilvl w:val="0"/>
          <w:numId w:val="25"/>
        </w:numPr>
        <w:tabs>
          <w:tab w:val="left" w:pos="0"/>
        </w:tabs>
        <w:ind w:left="567" w:right="567" w:firstLine="0"/>
        <w:rPr>
          <w:rFonts w:cs="Arial"/>
          <w:color w:val="7F7F7F" w:themeColor="text1" w:themeTint="80"/>
          <w:lang w:val="es-ES"/>
        </w:rPr>
      </w:pPr>
      <w:r w:rsidRPr="006412F5">
        <w:rPr>
          <w:rFonts w:cs="Arial"/>
          <w:color w:val="7F7F7F" w:themeColor="text1" w:themeTint="80"/>
          <w:lang w:val="es-ES"/>
        </w:rPr>
        <w:t>el primer día del cuarto mes siguiente a aquel en el curso del cual hayan entrado en vigor las modifica</w:t>
      </w:r>
      <w:r w:rsidR="00254CF3" w:rsidRPr="006412F5">
        <w:rPr>
          <w:rFonts w:cs="Arial"/>
          <w:color w:val="7F7F7F" w:themeColor="text1" w:themeTint="80"/>
          <w:lang w:val="es-ES"/>
        </w:rPr>
        <w:t xml:space="preserve">ciones del Reglamento (UE) nº </w:t>
      </w:r>
      <w:r w:rsidRPr="006412F5">
        <w:rPr>
          <w:rFonts w:cs="Arial"/>
          <w:color w:val="7F7F7F" w:themeColor="text1" w:themeTint="80"/>
          <w:lang w:val="es-ES"/>
        </w:rPr>
        <w:t>1215/2012 en lo que concierne a su relación con el presente Acuerdo.”</w:t>
      </w:r>
    </w:p>
    <w:p w14:paraId="6375631D" w14:textId="5AD3AB47" w:rsidR="00FB4103" w:rsidRDefault="00FB4103" w:rsidP="00B72BC9">
      <w:pPr>
        <w:ind w:left="0" w:right="567"/>
        <w:rPr>
          <w:rFonts w:cs="Arial"/>
          <w:i/>
          <w:lang w:val="es-ES"/>
        </w:rPr>
      </w:pPr>
    </w:p>
    <w:p w14:paraId="38EDEE4A" w14:textId="77777777" w:rsidR="00CF7781" w:rsidRDefault="00B72BC9" w:rsidP="006412F5">
      <w:pPr>
        <w:ind w:left="0" w:firstLine="360"/>
        <w:rPr>
          <w:rFonts w:cs="Arial"/>
          <w:lang w:val="es-ES"/>
        </w:rPr>
      </w:pPr>
      <w:r w:rsidRPr="00B72BC9">
        <w:rPr>
          <w:rFonts w:cs="Arial"/>
          <w:lang w:val="es-ES"/>
        </w:rPr>
        <w:t>A fecha de hoy</w:t>
      </w:r>
      <w:r>
        <w:rPr>
          <w:rFonts w:cs="Arial"/>
          <w:lang w:val="es-ES"/>
        </w:rPr>
        <w:t xml:space="preserve">, octubre de 2014, la condición primera y tercera se ha cumplido, sin embargo, sólo ha sido ratificado el acuerdo por cinco países y uno de los tres sin los cuales </w:t>
      </w:r>
      <w:r w:rsidR="005006AD">
        <w:rPr>
          <w:rFonts w:cs="Arial"/>
          <w:lang w:val="es-ES"/>
        </w:rPr>
        <w:t>el a</w:t>
      </w:r>
      <w:r>
        <w:rPr>
          <w:rFonts w:cs="Arial"/>
          <w:lang w:val="es-ES"/>
        </w:rPr>
        <w:t>cuerdo no puede entrar en vigor (Francia, Suecia, Austria, Dinamarca y Bélgica).</w:t>
      </w:r>
    </w:p>
    <w:p w14:paraId="6E87B2CC" w14:textId="77777777" w:rsidR="00CF7781" w:rsidRDefault="00CF7781" w:rsidP="00B41D99">
      <w:pPr>
        <w:ind w:left="0"/>
        <w:rPr>
          <w:rFonts w:cs="Arial"/>
          <w:lang w:val="es-ES"/>
        </w:rPr>
      </w:pPr>
    </w:p>
    <w:p w14:paraId="36347EBF" w14:textId="0338E905" w:rsidR="00CF7781" w:rsidRPr="00CF7781" w:rsidRDefault="00CF7781" w:rsidP="00B41D99">
      <w:pPr>
        <w:ind w:left="0"/>
        <w:rPr>
          <w:rFonts w:cs="Arial"/>
          <w:u w:val="single"/>
          <w:lang w:val="es-ES"/>
        </w:rPr>
      </w:pPr>
      <w:r w:rsidRPr="00CF7781">
        <w:rPr>
          <w:rFonts w:cs="Arial"/>
          <w:u w:val="single"/>
          <w:lang w:val="es-ES"/>
        </w:rPr>
        <w:t>B. La Patente Unitaria</w:t>
      </w:r>
      <w:r>
        <w:rPr>
          <w:rFonts w:cs="Arial"/>
          <w:u w:val="single"/>
          <w:lang w:val="es-ES"/>
        </w:rPr>
        <w:t>.</w:t>
      </w:r>
    </w:p>
    <w:p w14:paraId="66E339FD" w14:textId="77777777" w:rsidR="00CF7781" w:rsidRDefault="00CF7781" w:rsidP="00B41D99">
      <w:pPr>
        <w:ind w:left="0"/>
        <w:rPr>
          <w:rFonts w:cs="Arial"/>
          <w:lang w:val="es-ES"/>
        </w:rPr>
      </w:pPr>
    </w:p>
    <w:p w14:paraId="4FD3B7EB" w14:textId="1ADB6A3F" w:rsidR="00B41D99" w:rsidRPr="00CF7781" w:rsidRDefault="002B0965" w:rsidP="006412F5">
      <w:pPr>
        <w:ind w:left="0" w:firstLine="360"/>
        <w:rPr>
          <w:rFonts w:cs="Arial"/>
          <w:lang w:val="es-ES"/>
        </w:rPr>
      </w:pPr>
      <w:r w:rsidRPr="002B0965">
        <w:rPr>
          <w:rFonts w:cs="Arial"/>
          <w:lang w:val="es-ES"/>
        </w:rPr>
        <w:t xml:space="preserve">La patente unitaria, o patente europea </w:t>
      </w:r>
      <w:r>
        <w:rPr>
          <w:rFonts w:cs="Arial"/>
          <w:lang w:val="es-ES"/>
        </w:rPr>
        <w:t>con efecto unitario, es concedida por la Oficina Europea de Patentes</w:t>
      </w:r>
      <w:r w:rsidR="00B41D99">
        <w:rPr>
          <w:rFonts w:cs="Arial"/>
          <w:lang w:val="es-ES"/>
        </w:rPr>
        <w:t xml:space="preserve"> y a la cual, bajo petición del propietario de la patente, se le concede un efecto unitario en los 25 Estados Miembros participantes en la estructura de la patente unitaria.</w:t>
      </w:r>
    </w:p>
    <w:p w14:paraId="21A34E16" w14:textId="77777777" w:rsidR="00B41D99" w:rsidRDefault="00B41D99" w:rsidP="00B41D99">
      <w:pPr>
        <w:ind w:left="0"/>
        <w:rPr>
          <w:rFonts w:cs="Arial"/>
          <w:lang w:val="es-ES"/>
        </w:rPr>
      </w:pPr>
    </w:p>
    <w:p w14:paraId="6C60207D" w14:textId="35F8D488" w:rsidR="00B41D99" w:rsidRDefault="00B41D99" w:rsidP="006412F5">
      <w:pPr>
        <w:ind w:left="0" w:firstLine="360"/>
        <w:rPr>
          <w:rFonts w:cs="Arial"/>
          <w:lang w:val="es-ES"/>
        </w:rPr>
      </w:pPr>
      <w:r>
        <w:rPr>
          <w:rFonts w:cs="Arial"/>
          <w:lang w:val="es-ES"/>
        </w:rPr>
        <w:t>La patente unitaria coexistirá con las patentes nacionales y con las patentes europeas clásicas. Los propietarios de patentes, en el futuro, podrán elegir entre variadas combinaciones de patentes para proteger sus invenciones. Por ejemplo:</w:t>
      </w:r>
    </w:p>
    <w:p w14:paraId="15B55645" w14:textId="1C4CE492" w:rsidR="00B41D99" w:rsidRDefault="00B41D99" w:rsidP="00B41D99">
      <w:pPr>
        <w:ind w:left="0"/>
        <w:rPr>
          <w:rFonts w:cs="Arial"/>
          <w:lang w:val="es-ES"/>
        </w:rPr>
      </w:pPr>
    </w:p>
    <w:p w14:paraId="10F760B6" w14:textId="639CC1A3" w:rsidR="00B41D99" w:rsidRDefault="00B41D99" w:rsidP="00B41D99">
      <w:pPr>
        <w:pStyle w:val="Prrafodelista"/>
        <w:numPr>
          <w:ilvl w:val="0"/>
          <w:numId w:val="24"/>
        </w:numPr>
        <w:ind w:left="426" w:hanging="426"/>
        <w:rPr>
          <w:rFonts w:cs="Arial"/>
          <w:lang w:val="es-ES"/>
        </w:rPr>
      </w:pPr>
      <w:r>
        <w:rPr>
          <w:rFonts w:cs="Arial"/>
          <w:lang w:val="es-ES"/>
        </w:rPr>
        <w:t>Una patente unitaria para los 25 Estados Miembros de la Unión Europea que participan en la estructura de la patente unitaria.</w:t>
      </w:r>
    </w:p>
    <w:p w14:paraId="0EAC881B" w14:textId="77777777" w:rsidR="00B41D99" w:rsidRDefault="00B41D99" w:rsidP="00B41D99">
      <w:pPr>
        <w:pStyle w:val="Prrafodelista"/>
        <w:ind w:left="426" w:hanging="426"/>
        <w:rPr>
          <w:rFonts w:cs="Arial"/>
          <w:lang w:val="es-ES"/>
        </w:rPr>
      </w:pPr>
    </w:p>
    <w:p w14:paraId="7FBA5D2E" w14:textId="6D33F7DA" w:rsidR="00B41D99" w:rsidRDefault="00B41D99" w:rsidP="00B41D99">
      <w:pPr>
        <w:pStyle w:val="Prrafodelista"/>
        <w:numPr>
          <w:ilvl w:val="0"/>
          <w:numId w:val="24"/>
        </w:numPr>
        <w:ind w:left="426" w:hanging="426"/>
        <w:rPr>
          <w:rFonts w:cs="Arial"/>
          <w:lang w:val="es-ES"/>
        </w:rPr>
      </w:pPr>
      <w:r>
        <w:rPr>
          <w:rFonts w:cs="Arial"/>
          <w:lang w:val="es-ES"/>
        </w:rPr>
        <w:t>Una patente “clásica” europea que tenga efectos en países participantes del Convenio sobre la Patente Europea que no participan en la patente unitaria, como, por ejemplo, España, Italia, Suiza o Turquía.</w:t>
      </w:r>
    </w:p>
    <w:p w14:paraId="22E76F4A" w14:textId="77777777" w:rsidR="00B41D99" w:rsidRPr="00B41D99" w:rsidRDefault="00B41D99" w:rsidP="00B41D99">
      <w:pPr>
        <w:pStyle w:val="Prrafodelista"/>
        <w:rPr>
          <w:rFonts w:cs="Arial"/>
          <w:lang w:val="es-ES"/>
        </w:rPr>
      </w:pPr>
    </w:p>
    <w:p w14:paraId="4073F6B2" w14:textId="6A70DEE6" w:rsidR="002B0965" w:rsidRDefault="005006AD" w:rsidP="006412F5">
      <w:pPr>
        <w:ind w:left="0" w:firstLine="360"/>
        <w:rPr>
          <w:rFonts w:cs="Arial"/>
          <w:lang w:val="es-ES"/>
        </w:rPr>
      </w:pPr>
      <w:r>
        <w:rPr>
          <w:rFonts w:cs="Arial"/>
          <w:lang w:val="es-ES"/>
        </w:rPr>
        <w:t>A</w:t>
      </w:r>
      <w:r w:rsidR="00B41D99">
        <w:rPr>
          <w:rFonts w:cs="Arial"/>
          <w:lang w:val="es-ES"/>
        </w:rPr>
        <w:t xml:space="preserve"> diferencia de la patente “clásica” europea que tiene que s</w:t>
      </w:r>
      <w:r w:rsidR="006412F5">
        <w:rPr>
          <w:rFonts w:cs="Arial"/>
          <w:lang w:val="es-ES"/>
        </w:rPr>
        <w:t>er aprobado por la oficina de propiedad intelectual</w:t>
      </w:r>
      <w:r w:rsidR="00B41D99">
        <w:rPr>
          <w:rFonts w:cs="Arial"/>
          <w:lang w:val="es-ES"/>
        </w:rPr>
        <w:t xml:space="preserve"> de cada estado, la patente unitaria ofrecerá protección en un solo acto en 25 Estados Miembros de la Unión (todos menos España e Italia).</w:t>
      </w:r>
    </w:p>
    <w:p w14:paraId="4F62B7B5" w14:textId="77777777" w:rsidR="00B41D99" w:rsidRDefault="00B41D99" w:rsidP="00B41D99">
      <w:pPr>
        <w:ind w:left="0"/>
        <w:rPr>
          <w:rFonts w:cs="Arial"/>
          <w:lang w:val="es-ES"/>
        </w:rPr>
      </w:pPr>
    </w:p>
    <w:p w14:paraId="7651C63C" w14:textId="10415A20" w:rsidR="005006AD" w:rsidRDefault="005006AD" w:rsidP="006412F5">
      <w:pPr>
        <w:ind w:left="0" w:firstLine="360"/>
        <w:rPr>
          <w:rFonts w:cs="Arial"/>
          <w:lang w:val="es-ES"/>
        </w:rPr>
      </w:pPr>
      <w:r w:rsidRPr="00B41D99">
        <w:rPr>
          <w:rFonts w:cs="Arial"/>
          <w:lang w:val="es-ES"/>
        </w:rPr>
        <w:t>El</w:t>
      </w:r>
      <w:r>
        <w:rPr>
          <w:rFonts w:cs="Arial"/>
          <w:lang w:val="es-ES"/>
        </w:rPr>
        <w:t xml:space="preserve"> procedimiento para conceder una patente unitaria será el mismo que para la concesión de una patente europea sin efecto unitario. Una vez concedida la patente los propietarios de la misma deberán decidir qué tipo de protección desean para su invención. Los propietarios de las patentes, que quieran conseguir el efecto unitario, deberán solicitarlo ante la Oficina Europea de Patentes no más tarde de un mes desde que la patente europea ha sido concedida. El efecto unitario, que será inscrito por la EPO en su registro, transforma una patente europea en una única patente válida para los 25 Estados Miembros. Cualquier persona o institución, independientemente del país de origen, puede optar a una patente unitaria.</w:t>
      </w:r>
      <w:r w:rsidR="00E642B3">
        <w:rPr>
          <w:rFonts w:cs="Arial"/>
          <w:lang w:val="es-ES"/>
        </w:rPr>
        <w:t xml:space="preserve"> Este sistema será por tanto mucho m</w:t>
      </w:r>
      <w:r w:rsidR="001443CE">
        <w:rPr>
          <w:rFonts w:cs="Arial"/>
          <w:lang w:val="es-ES"/>
        </w:rPr>
        <w:t xml:space="preserve">ás simple, con menores cargas y más barato para los inventores. Terminará con los complejos sistemas de validación y además limitará los muy costosos gastos de </w:t>
      </w:r>
      <w:r w:rsidR="001443CE">
        <w:rPr>
          <w:rFonts w:cs="Arial"/>
          <w:lang w:val="es-ES"/>
        </w:rPr>
        <w:lastRenderedPageBreak/>
        <w:t>traducción. Según cifras aportadas por la propia Unión Europea, a día de hoy, obtener una patente europea con protección en los 27 Estados Miembros está en torno a los 36.000 euros de media y, según sus cálculos, una vez que el proyecto de la patente unitaria este completamente implementado los costes se reducirían hasta alrededor de unos 5.000 euros.</w:t>
      </w:r>
    </w:p>
    <w:p w14:paraId="0D4AD3CE" w14:textId="77777777" w:rsidR="005006AD" w:rsidRDefault="005006AD" w:rsidP="00B41D99">
      <w:pPr>
        <w:ind w:left="0"/>
        <w:rPr>
          <w:rFonts w:cs="Arial"/>
          <w:lang w:val="es-ES"/>
        </w:rPr>
      </w:pPr>
    </w:p>
    <w:p w14:paraId="51BC4E02" w14:textId="2D14E31D" w:rsidR="00E642B3" w:rsidRPr="002B0965" w:rsidRDefault="005006AD" w:rsidP="006412F5">
      <w:pPr>
        <w:ind w:left="0" w:firstLine="360"/>
        <w:rPr>
          <w:rFonts w:cs="Arial"/>
          <w:lang w:val="es-ES"/>
        </w:rPr>
      </w:pPr>
      <w:r>
        <w:rPr>
          <w:rFonts w:cs="Arial"/>
          <w:lang w:val="es-ES"/>
        </w:rPr>
        <w:t>La patente unitaria será administrada por la EPO a lo largo de toda su vida y con el límite de los veinte años desde la fecha de la solicitud que tiene</w:t>
      </w:r>
      <w:r w:rsidR="003D3633">
        <w:rPr>
          <w:rFonts w:cs="Arial"/>
          <w:lang w:val="es-ES"/>
        </w:rPr>
        <w:t>n</w:t>
      </w:r>
      <w:r>
        <w:rPr>
          <w:rFonts w:cs="Arial"/>
          <w:lang w:val="es-ES"/>
        </w:rPr>
        <w:t xml:space="preserve"> de tope máximo </w:t>
      </w:r>
      <w:r w:rsidR="003D3633">
        <w:rPr>
          <w:rFonts w:cs="Arial"/>
          <w:lang w:val="es-ES"/>
        </w:rPr>
        <w:t>las</w:t>
      </w:r>
      <w:r>
        <w:rPr>
          <w:rFonts w:cs="Arial"/>
          <w:lang w:val="es-ES"/>
        </w:rPr>
        <w:t xml:space="preserve"> patentes.</w:t>
      </w:r>
    </w:p>
    <w:p w14:paraId="471B1DC4" w14:textId="77777777" w:rsidR="005006AD" w:rsidRPr="001443CE" w:rsidRDefault="005006AD" w:rsidP="00AA1D3F">
      <w:pPr>
        <w:ind w:left="0"/>
        <w:rPr>
          <w:rFonts w:cs="Arial"/>
          <w:lang w:val="es-ES"/>
        </w:rPr>
      </w:pPr>
    </w:p>
    <w:p w14:paraId="0ED25886" w14:textId="3DF10DDE" w:rsidR="00346081" w:rsidRPr="005006AD" w:rsidRDefault="005006AD" w:rsidP="006412F5">
      <w:pPr>
        <w:ind w:left="0" w:firstLine="360"/>
        <w:rPr>
          <w:rFonts w:cs="Arial"/>
          <w:lang w:val="es-ES"/>
        </w:rPr>
      </w:pPr>
      <w:r>
        <w:rPr>
          <w:rFonts w:cs="Arial"/>
          <w:lang w:val="es-ES"/>
        </w:rPr>
        <w:t>Respecto a los dos Estados Miembros de la Unión Europea que, por ahora, no participan de este proyecto, los inventores podrán, por supuesto, obtener protección</w:t>
      </w:r>
      <w:r w:rsidR="003D3633">
        <w:rPr>
          <w:rFonts w:cs="Arial"/>
          <w:lang w:val="es-ES"/>
        </w:rPr>
        <w:t xml:space="preserve"> en ellos</w:t>
      </w:r>
      <w:r>
        <w:rPr>
          <w:rFonts w:cs="Arial"/>
          <w:lang w:val="es-ES"/>
        </w:rPr>
        <w:t xml:space="preserve"> mediante la patente “clásica” europea que tendrá que ser validada separadamente en estos dos pa</w:t>
      </w:r>
      <w:r w:rsidR="00346081">
        <w:rPr>
          <w:rFonts w:cs="Arial"/>
          <w:lang w:val="es-ES"/>
        </w:rPr>
        <w:t>íses.</w:t>
      </w:r>
    </w:p>
    <w:p w14:paraId="5E0CCFF1" w14:textId="77777777" w:rsidR="00AA1D3F" w:rsidRDefault="00AA1D3F" w:rsidP="00AA1D3F">
      <w:pPr>
        <w:ind w:left="0"/>
        <w:rPr>
          <w:rFonts w:cs="Arial"/>
          <w:lang w:val="es-ES"/>
        </w:rPr>
      </w:pPr>
    </w:p>
    <w:p w14:paraId="33E05192" w14:textId="63F5D8AD" w:rsidR="00681D8C" w:rsidRPr="00681D8C" w:rsidRDefault="00681D8C" w:rsidP="00AA1D3F">
      <w:pPr>
        <w:ind w:left="0"/>
        <w:rPr>
          <w:rFonts w:cs="Arial"/>
          <w:u w:val="single"/>
          <w:lang w:val="es-ES"/>
        </w:rPr>
      </w:pPr>
      <w:r w:rsidRPr="00681D8C">
        <w:rPr>
          <w:rFonts w:cs="Arial"/>
          <w:u w:val="single"/>
          <w:lang w:val="es-ES"/>
        </w:rPr>
        <w:t>C. La Corte Unificada de Patentes.</w:t>
      </w:r>
    </w:p>
    <w:p w14:paraId="1A8B42F4" w14:textId="77777777" w:rsidR="00A83135" w:rsidRDefault="00A83135" w:rsidP="005006AD">
      <w:pPr>
        <w:ind w:left="0"/>
        <w:rPr>
          <w:rFonts w:cs="Arial"/>
          <w:lang w:val="es-ES"/>
        </w:rPr>
      </w:pPr>
    </w:p>
    <w:p w14:paraId="69865324" w14:textId="100EF6EF" w:rsidR="00681D8C" w:rsidRDefault="00681D8C" w:rsidP="006412F5">
      <w:pPr>
        <w:ind w:left="0" w:firstLine="360"/>
        <w:rPr>
          <w:rFonts w:cs="Arial"/>
          <w:lang w:val="es-ES"/>
        </w:rPr>
      </w:pPr>
      <w:r>
        <w:rPr>
          <w:rFonts w:cs="Arial"/>
          <w:lang w:val="es-ES"/>
        </w:rPr>
        <w:t xml:space="preserve">Para muchos la creación de esta Corte </w:t>
      </w:r>
      <w:r w:rsidR="004D17BF">
        <w:rPr>
          <w:rFonts w:cs="Arial"/>
          <w:lang w:val="es-ES"/>
        </w:rPr>
        <w:t xml:space="preserve">Unificada de Patentes (UPC) </w:t>
      </w:r>
      <w:r>
        <w:rPr>
          <w:rFonts w:cs="Arial"/>
          <w:lang w:val="es-ES"/>
        </w:rPr>
        <w:t>es, con diferencia, el paso más trascendente que se ha dado con la introducción de la patente unitaria.</w:t>
      </w:r>
    </w:p>
    <w:p w14:paraId="1C1C73CA" w14:textId="77777777" w:rsidR="003D3633" w:rsidRDefault="003D3633" w:rsidP="005006AD">
      <w:pPr>
        <w:ind w:left="0"/>
        <w:rPr>
          <w:rFonts w:cs="Arial"/>
          <w:lang w:val="es-ES"/>
        </w:rPr>
      </w:pPr>
    </w:p>
    <w:p w14:paraId="0A92C58F" w14:textId="43608C93" w:rsidR="003D3633" w:rsidRDefault="003D3633" w:rsidP="006412F5">
      <w:pPr>
        <w:ind w:left="0" w:firstLine="360"/>
        <w:rPr>
          <w:rFonts w:cs="Arial"/>
          <w:lang w:val="es-ES"/>
        </w:rPr>
      </w:pPr>
      <w:r>
        <w:rPr>
          <w:rFonts w:cs="Arial"/>
          <w:lang w:val="es-ES"/>
        </w:rPr>
        <w:t xml:space="preserve">La Corte Unificada de Patentes, una vez que, como ya hemos visto, sea ratificado el acuerdo que la regula por al menos trece Estados Miembros, entre los que se han de incluir obligatoriamente a Francia, Alemania y Reino Unido entrará en funcionamiento. </w:t>
      </w:r>
    </w:p>
    <w:p w14:paraId="351C48A9" w14:textId="0FCFA218" w:rsidR="00A83135" w:rsidRDefault="003D3633" w:rsidP="003B2F46">
      <w:pPr>
        <w:ind w:left="0"/>
        <w:rPr>
          <w:rFonts w:cs="Arial"/>
          <w:lang w:val="es-ES"/>
        </w:rPr>
      </w:pPr>
      <w:r w:rsidRPr="003D3633">
        <w:rPr>
          <w:rFonts w:cs="Arial"/>
          <w:lang w:val="es-ES"/>
        </w:rPr>
        <w:t>La Corte resolverá casos relativos a procedimientos de infracci</w:t>
      </w:r>
      <w:r>
        <w:rPr>
          <w:rFonts w:cs="Arial"/>
          <w:lang w:val="es-ES"/>
        </w:rPr>
        <w:t xml:space="preserve">ón y revocación de patentes europeas, tanto clásicas como unitarias, </w:t>
      </w:r>
      <w:r w:rsidR="003B2F46">
        <w:rPr>
          <w:rFonts w:cs="Arial"/>
          <w:lang w:val="es-ES"/>
        </w:rPr>
        <w:t>y sus resoluciones serán aplicables en todos los estados participantes.</w:t>
      </w:r>
    </w:p>
    <w:p w14:paraId="5421F8FD" w14:textId="25C099E6" w:rsidR="003B2F46" w:rsidRDefault="003B2F46" w:rsidP="003B2F46">
      <w:pPr>
        <w:ind w:left="0"/>
        <w:rPr>
          <w:rFonts w:cs="Arial"/>
          <w:lang w:val="es-ES"/>
        </w:rPr>
      </w:pPr>
    </w:p>
    <w:p w14:paraId="3659F081" w14:textId="233A1BB4" w:rsidR="003B2F46" w:rsidRDefault="00795BF2" w:rsidP="006412F5">
      <w:pPr>
        <w:ind w:left="0" w:firstLine="360"/>
        <w:rPr>
          <w:rFonts w:cs="Arial"/>
          <w:lang w:val="es-ES"/>
        </w:rPr>
      </w:pPr>
      <w:r>
        <w:rPr>
          <w:rFonts w:cs="Arial"/>
          <w:noProof/>
          <w:lang w:val="es-ES" w:eastAsia="es-ES"/>
        </w:rPr>
        <w:drawing>
          <wp:anchor distT="0" distB="0" distL="114300" distR="114300" simplePos="0" relativeHeight="251606528" behindDoc="1" locked="0" layoutInCell="1" allowOverlap="1" wp14:anchorId="12078A8B" wp14:editId="6B7FF0CF">
            <wp:simplePos x="0" y="0"/>
            <wp:positionH relativeFrom="margin">
              <wp:align>right</wp:align>
            </wp:positionH>
            <wp:positionV relativeFrom="paragraph">
              <wp:posOffset>53340</wp:posOffset>
            </wp:positionV>
            <wp:extent cx="2595880" cy="2500630"/>
            <wp:effectExtent l="19050" t="19050" r="13970" b="13970"/>
            <wp:wrapTight wrapText="bothSides">
              <wp:wrapPolygon edited="0">
                <wp:start x="-159" y="-165"/>
                <wp:lineTo x="-159" y="21556"/>
                <wp:lineTo x="21558" y="21556"/>
                <wp:lineTo x="21558" y="-165"/>
                <wp:lineTo x="-159" y="-165"/>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64).png"/>
                    <pic:cNvPicPr/>
                  </pic:nvPicPr>
                  <pic:blipFill rotWithShape="1">
                    <a:blip r:embed="rId16" cstate="print">
                      <a:extLst>
                        <a:ext uri="{28A0092B-C50C-407E-A947-70E740481C1C}">
                          <a14:useLocalDpi xmlns:a14="http://schemas.microsoft.com/office/drawing/2010/main" val="0"/>
                        </a:ext>
                      </a:extLst>
                    </a:blip>
                    <a:srcRect l="4269" t="3733" r="6798" b="26055"/>
                    <a:stretch/>
                  </pic:blipFill>
                  <pic:spPr bwMode="auto">
                    <a:xfrm>
                      <a:off x="0" y="0"/>
                      <a:ext cx="2598084" cy="2502869"/>
                    </a:xfrm>
                    <a:prstGeom prst="rect">
                      <a:avLst/>
                    </a:prstGeom>
                    <a:ln w="19050" cap="flat" cmpd="sng" algn="ctr">
                      <a:solidFill>
                        <a:srgbClr val="1CADE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F46" w:rsidRPr="00150CA5">
        <w:rPr>
          <w:rFonts w:cs="Arial"/>
          <w:lang w:val="es-ES"/>
        </w:rPr>
        <w:t>El Acuerdo de la Corte Unificada de Patentes de 19 de febrero de 2013 regula todos los aspectos relativos a la institución, incluyendo localizaciones, facultades, estructura o funcionamiento.</w:t>
      </w:r>
    </w:p>
    <w:p w14:paraId="2496972F" w14:textId="304E9882" w:rsidR="004D17BF" w:rsidRDefault="004D17BF" w:rsidP="003B2F46">
      <w:pPr>
        <w:ind w:left="0"/>
        <w:rPr>
          <w:rFonts w:cs="Arial"/>
          <w:lang w:val="es-ES"/>
        </w:rPr>
      </w:pPr>
    </w:p>
    <w:p w14:paraId="1EB956C6" w14:textId="0745822A" w:rsidR="00254CF3" w:rsidRDefault="00795BF2" w:rsidP="006412F5">
      <w:pPr>
        <w:ind w:left="0" w:firstLine="360"/>
        <w:rPr>
          <w:rFonts w:cs="Arial"/>
          <w:lang w:val="es-ES"/>
        </w:rPr>
      </w:pPr>
      <w:r>
        <w:rPr>
          <w:noProof/>
          <w:lang w:val="es-ES" w:eastAsia="es-ES"/>
        </w:rPr>
        <mc:AlternateContent>
          <mc:Choice Requires="wps">
            <w:drawing>
              <wp:anchor distT="0" distB="0" distL="114300" distR="114300" simplePos="0" relativeHeight="251647488" behindDoc="1" locked="0" layoutInCell="1" allowOverlap="1" wp14:anchorId="5EE2A9E6" wp14:editId="1F92C462">
                <wp:simplePos x="0" y="0"/>
                <wp:positionH relativeFrom="margin">
                  <wp:align>right</wp:align>
                </wp:positionH>
                <wp:positionV relativeFrom="paragraph">
                  <wp:posOffset>1693314</wp:posOffset>
                </wp:positionV>
                <wp:extent cx="2595880" cy="635"/>
                <wp:effectExtent l="0" t="0" r="0" b="3810"/>
                <wp:wrapTight wrapText="bothSides">
                  <wp:wrapPolygon edited="0">
                    <wp:start x="0" y="0"/>
                    <wp:lineTo x="0" y="20348"/>
                    <wp:lineTo x="21399" y="20348"/>
                    <wp:lineTo x="21399"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2595880" cy="635"/>
                        </a:xfrm>
                        <a:prstGeom prst="rect">
                          <a:avLst/>
                        </a:prstGeom>
                        <a:solidFill>
                          <a:prstClr val="white"/>
                        </a:solidFill>
                        <a:ln>
                          <a:noFill/>
                        </a:ln>
                        <a:effectLst/>
                      </wps:spPr>
                      <wps:txbx>
                        <w:txbxContent>
                          <w:p w14:paraId="39C0D598" w14:textId="1D0A63EF" w:rsidR="00A5627F" w:rsidRPr="00795BF2" w:rsidRDefault="00A5627F" w:rsidP="00795BF2">
                            <w:pPr>
                              <w:pStyle w:val="Descripcin"/>
                              <w:jc w:val="center"/>
                              <w:rPr>
                                <w:rFonts w:cs="Arial"/>
                                <w:noProof/>
                                <w:lang w:val="es-ES"/>
                              </w:rPr>
                            </w:pPr>
                            <w:bookmarkStart w:id="27" w:name="_Toc400008708"/>
                            <w:bookmarkStart w:id="28" w:name="_Toc400525280"/>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5</w:t>
                            </w:r>
                            <w:r>
                              <w:fldChar w:fldCharType="end"/>
                            </w:r>
                            <w:r w:rsidRPr="00795BF2">
                              <w:rPr>
                                <w:lang w:val="es-ES"/>
                              </w:rPr>
                              <w:t xml:space="preserve"> - Localizaciones de la Corte Unificada de Patentes.</w:t>
                            </w:r>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E2A9E6" id="Cuadro de texto 20" o:spid="_x0000_s1032" type="#_x0000_t202" style="position:absolute;left:0;text-align:left;margin-left:153.2pt;margin-top:133.35pt;width:204.4pt;height:.05pt;z-index:-251668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" stroked="f">
                <v:textbox style="mso-fit-shape-to-text:t" inset="0,0,0,0">
                  <w:txbxContent>
                    <w:p w14:paraId="39C0D598" w14:textId="1D0A63EF" w:rsidR="00A5627F" w:rsidRPr="00795BF2" w:rsidRDefault="00A5627F" w:rsidP="00795BF2">
                      <w:pPr>
                        <w:pStyle w:val="Descripcin"/>
                        <w:jc w:val="center"/>
                        <w:rPr>
                          <w:rFonts w:cs="Arial"/>
                          <w:noProof/>
                          <w:lang w:val="es-ES"/>
                        </w:rPr>
                      </w:pPr>
                      <w:bookmarkStart w:id="29" w:name="_Toc400008708"/>
                      <w:bookmarkStart w:id="30" w:name="_Toc400525280"/>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5</w:t>
                      </w:r>
                      <w:r>
                        <w:fldChar w:fldCharType="end"/>
                      </w:r>
                      <w:r w:rsidRPr="00795BF2">
                        <w:rPr>
                          <w:lang w:val="es-ES"/>
                        </w:rPr>
                        <w:t xml:space="preserve"> - Localizaciones de la Corte Unificada de Patentes.</w:t>
                      </w:r>
                      <w:bookmarkEnd w:id="29"/>
                      <w:bookmarkEnd w:id="30"/>
                    </w:p>
                  </w:txbxContent>
                </v:textbox>
                <w10:wrap type="tight" anchorx="margin"/>
              </v:shape>
            </w:pict>
          </mc:Fallback>
        </mc:AlternateContent>
      </w:r>
      <w:r w:rsidR="00254CF3">
        <w:rPr>
          <w:rFonts w:cs="Arial"/>
          <w:lang w:val="es-ES"/>
        </w:rPr>
        <w:t>Según establecen los arts. 7</w:t>
      </w:r>
      <w:r w:rsidR="00346081">
        <w:rPr>
          <w:rFonts w:cs="Arial"/>
          <w:lang w:val="es-ES"/>
        </w:rPr>
        <w:t xml:space="preserve"> </w:t>
      </w:r>
      <w:r w:rsidR="00254CF3">
        <w:rPr>
          <w:rFonts w:cs="Arial"/>
          <w:lang w:val="es-ES"/>
        </w:rPr>
        <w:t>y 9 del mencionado acuerdo la UPC tendrá su división central en París y secciones temáticas en Londres y Múnich. Terceros países participantes podrán establecer una o varias, siempre que se alcancen una carga de trabajo determinada, divisiones locales de la UPC. La sala de apelación estará en Luxemburgo, que servirá también de registro. Lisboa y Liubliana acogerán los Centros de Mediación y Arbitraje de Patentes.</w:t>
      </w:r>
    </w:p>
    <w:p w14:paraId="1A54657D" w14:textId="3196029E" w:rsidR="00BC598F" w:rsidRDefault="00BC598F" w:rsidP="00254CF3">
      <w:pPr>
        <w:ind w:left="0"/>
        <w:rPr>
          <w:rFonts w:cs="Arial"/>
          <w:lang w:val="es-ES"/>
        </w:rPr>
      </w:pPr>
    </w:p>
    <w:p w14:paraId="1A2EF3D0" w14:textId="421C248F" w:rsidR="00CF7781" w:rsidRPr="006412F5" w:rsidRDefault="00BC598F" w:rsidP="006412F5">
      <w:pPr>
        <w:ind w:left="0" w:firstLine="360"/>
        <w:rPr>
          <w:rFonts w:cs="Arial"/>
          <w:lang w:val="es-ES"/>
        </w:rPr>
      </w:pPr>
      <w:r>
        <w:rPr>
          <w:rFonts w:cs="Arial"/>
          <w:lang w:val="es-ES"/>
        </w:rPr>
        <w:t xml:space="preserve">Respecto a sus competencias la Corte de Patentes, esta podrá resolver casos relativos a Patentes con efecto unitario y patentes “clásicas” europeas. En el caso de las patentes sin efecto unitario, durante un periodo transitorio de siete años se podrán llevar los casos a las salas de justicia nacionales y, por tanto, los propietarios de las patentes podrán optar por no someterse a la UPC. Las decisiones de la Corte serán ejercitables para todos los territorios donde la patente sea válida. Los casos podrán versar sobre violación de patentes, revocaciones, declaraciones de no violación </w:t>
      </w:r>
      <w:r w:rsidR="006412F5">
        <w:rPr>
          <w:rFonts w:cs="Arial"/>
          <w:lang w:val="es-ES"/>
        </w:rPr>
        <w:t xml:space="preserve"> y cuantificación de perjui</w:t>
      </w:r>
    </w:p>
    <w:p w14:paraId="0C1B881A" w14:textId="04DEA31C" w:rsidR="00417E16" w:rsidRDefault="00417E16" w:rsidP="00417E16">
      <w:pPr>
        <w:pStyle w:val="Etiquetadefilas"/>
        <w:numPr>
          <w:ilvl w:val="0"/>
          <w:numId w:val="15"/>
        </w:numPr>
        <w:spacing w:before="0"/>
        <w:ind w:left="567" w:hanging="567"/>
        <w:rPr>
          <w:rFonts w:ascii="Arial" w:hAnsi="Arial" w:cs="Arial"/>
          <w:color w:val="FF0000"/>
          <w:szCs w:val="22"/>
        </w:rPr>
      </w:pPr>
      <w:bookmarkStart w:id="31" w:name="_Toc400525382"/>
      <w:r>
        <w:rPr>
          <w:rFonts w:ascii="Arial" w:hAnsi="Arial" w:cs="Arial"/>
          <w:color w:val="FF0000"/>
          <w:szCs w:val="22"/>
        </w:rPr>
        <w:lastRenderedPageBreak/>
        <w:t>PATENTES FARMACÉUTICAS</w:t>
      </w:r>
      <w:bookmarkEnd w:id="31"/>
    </w:p>
    <w:p w14:paraId="1C5ED5C4" w14:textId="66C47589" w:rsidR="00CF7781" w:rsidRPr="00CF7781" w:rsidRDefault="00CF7781" w:rsidP="00CF7781">
      <w:pPr>
        <w:ind w:left="0"/>
        <w:rPr>
          <w:rFonts w:cs="Arial"/>
          <w:lang w:val="es-ES"/>
        </w:rPr>
      </w:pPr>
    </w:p>
    <w:p w14:paraId="5F3DF3F2" w14:textId="65F13AD9" w:rsidR="00CF7781" w:rsidRPr="00CF7781" w:rsidRDefault="00CF7781" w:rsidP="004A7D12">
      <w:pPr>
        <w:pStyle w:val="Ttulo2"/>
        <w:rPr>
          <w:rFonts w:cs="Arial"/>
          <w:lang w:val="es-ES"/>
        </w:rPr>
      </w:pPr>
      <w:bookmarkStart w:id="32" w:name="_Toc400525383"/>
      <w:r w:rsidRPr="004A7D12">
        <w:rPr>
          <w:lang w:val="es-ES"/>
        </w:rPr>
        <w:t>2.1. ¿Qué son las patentes farmacéuticas?</w:t>
      </w:r>
      <w:bookmarkEnd w:id="32"/>
    </w:p>
    <w:p w14:paraId="71F4E84C" w14:textId="6595BB98" w:rsidR="004A7D12" w:rsidRDefault="004A7D12" w:rsidP="00254CF3">
      <w:pPr>
        <w:ind w:left="0"/>
        <w:rPr>
          <w:rFonts w:cs="Arial"/>
          <w:lang w:val="es-ES"/>
        </w:rPr>
      </w:pPr>
    </w:p>
    <w:p w14:paraId="2E06ABB4" w14:textId="22285116" w:rsidR="00C80BC8" w:rsidRDefault="004A7D12" w:rsidP="006412F5">
      <w:pPr>
        <w:ind w:left="0" w:firstLine="360"/>
        <w:rPr>
          <w:rFonts w:cs="Arial"/>
          <w:lang w:val="es-ES"/>
        </w:rPr>
      </w:pPr>
      <w:r>
        <w:rPr>
          <w:rFonts w:cs="Arial"/>
          <w:lang w:val="es-ES"/>
        </w:rPr>
        <w:t xml:space="preserve">La industria farmacéutica es una </w:t>
      </w:r>
      <w:r w:rsidR="00BD3FD2">
        <w:rPr>
          <w:rFonts w:cs="Arial"/>
          <w:lang w:val="es-ES"/>
        </w:rPr>
        <w:t xml:space="preserve">de las tres industrias en las que la patente virtualmente equivale al producto. Las otras dos son la química y la biotecnológica. A diferencia de otros sectores </w:t>
      </w:r>
      <w:r w:rsidR="00C80BC8">
        <w:rPr>
          <w:rFonts w:cs="Arial"/>
          <w:lang w:val="es-ES"/>
        </w:rPr>
        <w:t xml:space="preserve">que producen bienes </w:t>
      </w:r>
      <w:r w:rsidR="00BD3FD2">
        <w:rPr>
          <w:rFonts w:cs="Arial"/>
          <w:lang w:val="es-ES"/>
        </w:rPr>
        <w:t xml:space="preserve">donde se requieren unas infraestructuras que normalmente son muy caras y complejas, </w:t>
      </w:r>
      <w:r w:rsidR="00C80BC8">
        <w:rPr>
          <w:rFonts w:cs="Arial"/>
          <w:lang w:val="es-ES"/>
        </w:rPr>
        <w:t>los productos que son patentados por las compañías farmacéuticas puede ser, en la mayoría de las ocasiones, de una manera fácil y barata copiados por los competidores con una pequeña, en comparación del creador original, inversión de capital. Debido a que en la industria farmacéutica las inversiones se destinan de una m</w:t>
      </w:r>
      <w:r w:rsidR="00275CEA">
        <w:rPr>
          <w:rFonts w:cs="Arial"/>
          <w:lang w:val="es-ES"/>
        </w:rPr>
        <w:t>an</w:t>
      </w:r>
      <w:r w:rsidR="00C80BC8">
        <w:rPr>
          <w:rFonts w:cs="Arial"/>
          <w:lang w:val="es-ES"/>
        </w:rPr>
        <w:t>era desproporcionada a favor de la investigación en laboratorio y los ensayos clínicos</w:t>
      </w:r>
      <w:r w:rsidR="00150CA5">
        <w:rPr>
          <w:rFonts w:cs="Arial"/>
          <w:lang w:val="es-ES"/>
        </w:rPr>
        <w:t>,</w:t>
      </w:r>
      <w:r w:rsidR="00C80BC8">
        <w:rPr>
          <w:rFonts w:cs="Arial"/>
          <w:lang w:val="es-ES"/>
        </w:rPr>
        <w:t xml:space="preserve"> más que a la fabricación del producto final, la exclusividad otorgada por las patentes es la única manera efectiva de proteger y, por supuesto, obtener un </w:t>
      </w:r>
      <w:r w:rsidR="00150CA5">
        <w:rPr>
          <w:rFonts w:cs="Arial"/>
          <w:lang w:val="es-ES"/>
        </w:rPr>
        <w:t>retorno</w:t>
      </w:r>
      <w:r w:rsidR="00C80BC8">
        <w:rPr>
          <w:rFonts w:cs="Arial"/>
          <w:lang w:val="es-ES"/>
        </w:rPr>
        <w:t xml:space="preserve"> de esa inversión de capital humano y económico.</w:t>
      </w:r>
    </w:p>
    <w:p w14:paraId="46366397" w14:textId="77777777" w:rsidR="00C80BC8" w:rsidRDefault="00C80BC8" w:rsidP="00254CF3">
      <w:pPr>
        <w:ind w:left="0"/>
        <w:rPr>
          <w:rFonts w:cs="Arial"/>
          <w:lang w:val="es-ES"/>
        </w:rPr>
      </w:pPr>
    </w:p>
    <w:p w14:paraId="62A7A94E" w14:textId="707D6B8C" w:rsidR="00DE067D" w:rsidRDefault="00C80BC8" w:rsidP="006412F5">
      <w:pPr>
        <w:ind w:left="0" w:firstLine="360"/>
        <w:rPr>
          <w:rFonts w:cs="Arial"/>
          <w:bCs/>
          <w:lang w:val="es-ES"/>
        </w:rPr>
      </w:pPr>
      <w:r>
        <w:rPr>
          <w:rFonts w:cs="Arial"/>
          <w:lang w:val="es-ES"/>
        </w:rPr>
        <w:t>La industria farmacéutica tiene además otra particularidad que la diferencia del resto de sectores</w:t>
      </w:r>
      <w:r w:rsidR="006C7648">
        <w:rPr>
          <w:rFonts w:cs="Arial"/>
          <w:lang w:val="es-ES"/>
        </w:rPr>
        <w:t>. Los productos farmacéuticos están altamente regulados. De hecho, es la segunda industria más regulada a nivel global tan solo por detrás del sector de la aviación civil. Esta presión</w:t>
      </w:r>
      <w:r w:rsidR="00275CEA">
        <w:rPr>
          <w:rFonts w:cs="Arial"/>
          <w:lang w:val="es-ES"/>
        </w:rPr>
        <w:t xml:space="preserve"> regulatoria</w:t>
      </w:r>
      <w:r w:rsidR="006C7648">
        <w:rPr>
          <w:rFonts w:cs="Arial"/>
          <w:lang w:val="es-ES"/>
        </w:rPr>
        <w:t xml:space="preserve">, que es desde nuestro punto de vista lógica, por parte de entes nacionales y supranacionales está motivada en garantizar que los fármacos que finalmente son lanzados al mercado por las compañías farmacéuticas son eficaces y seguros para el consumo de los pacientes para los que han sido diseñados. Las mencionadas exigencias regulatorias </w:t>
      </w:r>
      <w:r w:rsidR="004E62B5">
        <w:rPr>
          <w:rFonts w:cs="Arial"/>
          <w:lang w:val="es-ES"/>
        </w:rPr>
        <w:t>se traducen en el hecho</w:t>
      </w:r>
      <w:r w:rsidR="006C7648">
        <w:rPr>
          <w:rFonts w:cs="Arial"/>
          <w:lang w:val="es-ES"/>
        </w:rPr>
        <w:t xml:space="preserve"> de que entes oficiales como la </w:t>
      </w:r>
      <w:r w:rsidR="006C7648" w:rsidRPr="004E62B5">
        <w:rPr>
          <w:rFonts w:cs="Arial"/>
          <w:i/>
          <w:lang w:val="es-ES"/>
        </w:rPr>
        <w:t>Agencia Española del Medicamento y Productos Sanitarios</w:t>
      </w:r>
      <w:r w:rsidR="006C7648">
        <w:rPr>
          <w:rFonts w:cs="Arial"/>
          <w:lang w:val="es-ES"/>
        </w:rPr>
        <w:t xml:space="preserve"> (AEMPS), la </w:t>
      </w:r>
      <w:r w:rsidR="006C7648" w:rsidRPr="004E62B5">
        <w:rPr>
          <w:rFonts w:cs="Arial"/>
          <w:i/>
          <w:lang w:val="es-ES"/>
        </w:rPr>
        <w:t>European Medicines Agency</w:t>
      </w:r>
      <w:r w:rsidR="006C7648">
        <w:rPr>
          <w:rFonts w:cs="Arial"/>
          <w:lang w:val="es-ES"/>
        </w:rPr>
        <w:t xml:space="preserve"> (EMA), la americana </w:t>
      </w:r>
      <w:r w:rsidR="004E62B5" w:rsidRPr="004E62B5">
        <w:rPr>
          <w:rFonts w:cs="Arial"/>
          <w:i/>
          <w:lang w:val="es-ES"/>
        </w:rPr>
        <w:t>Food and Drug Administration</w:t>
      </w:r>
      <w:r w:rsidR="004E62B5">
        <w:rPr>
          <w:rFonts w:cs="Arial"/>
          <w:lang w:val="es-ES"/>
        </w:rPr>
        <w:t xml:space="preserve"> (FDA) o la japonesa </w:t>
      </w:r>
      <w:r w:rsidR="004E62B5" w:rsidRPr="004E62B5">
        <w:rPr>
          <w:rFonts w:cs="Arial"/>
          <w:bCs/>
          <w:i/>
          <w:lang w:val="es-ES"/>
        </w:rPr>
        <w:t>Pharmaceuticals and Medical Devices Agency</w:t>
      </w:r>
      <w:r w:rsidR="004E62B5">
        <w:rPr>
          <w:rFonts w:cs="Arial"/>
          <w:bCs/>
          <w:lang w:val="es-ES"/>
        </w:rPr>
        <w:t xml:space="preserve"> (PMDA) hayan establecido unos estrictos criterios de obligatorio cumplimiento para poder comercializar medicamentos en los territorios sobre los cuales son competentes</w:t>
      </w:r>
      <w:r w:rsidR="007146A7">
        <w:rPr>
          <w:rFonts w:cs="Arial"/>
          <w:bCs/>
          <w:lang w:val="es-ES"/>
        </w:rPr>
        <w:t>. En este sentido, a nivel europeo, la regulación más importante es la Directiva 2001/83 de la Comisión Europea.</w:t>
      </w:r>
    </w:p>
    <w:p w14:paraId="1693BA4C" w14:textId="77777777" w:rsidR="007146A7" w:rsidRDefault="007146A7" w:rsidP="00254CF3">
      <w:pPr>
        <w:ind w:left="0"/>
        <w:rPr>
          <w:rFonts w:cs="Arial"/>
          <w:bCs/>
          <w:lang w:val="es-ES"/>
        </w:rPr>
      </w:pPr>
    </w:p>
    <w:p w14:paraId="7955BD0A" w14:textId="5A6AF391" w:rsidR="007146A7" w:rsidRDefault="007146A7" w:rsidP="006412F5">
      <w:pPr>
        <w:ind w:left="0" w:firstLine="360"/>
        <w:rPr>
          <w:rFonts w:cs="Arial"/>
          <w:bCs/>
          <w:lang w:val="es-ES"/>
        </w:rPr>
      </w:pPr>
      <w:r>
        <w:rPr>
          <w:rFonts w:cs="Arial"/>
          <w:bCs/>
          <w:lang w:val="es-ES"/>
        </w:rPr>
        <w:t>Hemos de hacer referencia, aunque sea de manera mínima al campo de la publicidad. En Europa la publicidad farmacéutica está sometida a los mismos mínimos que el resto de productos. Adicionalmente está sujeta a reglas especiales recogidas en la Directiva  92/28</w:t>
      </w:r>
      <w:r w:rsidR="001135D9">
        <w:rPr>
          <w:rFonts w:cs="Arial"/>
          <w:bCs/>
          <w:lang w:val="es-ES"/>
        </w:rPr>
        <w:t>/</w:t>
      </w:r>
      <w:r>
        <w:rPr>
          <w:rFonts w:cs="Arial"/>
          <w:bCs/>
          <w:lang w:val="es-ES"/>
        </w:rPr>
        <w:t>EEC que recogen normas como la prohibición de anunciar medicamentos que se prescriban con receta médica o una serie de reglas que se han de seguir a la hora de promocionar medicamentos directamente a los médicos que se encargarán de prescribir los mismos.</w:t>
      </w:r>
    </w:p>
    <w:p w14:paraId="37992C7E" w14:textId="77777777" w:rsidR="007146A7" w:rsidRDefault="007146A7" w:rsidP="00254CF3">
      <w:pPr>
        <w:ind w:left="0"/>
        <w:rPr>
          <w:rFonts w:cs="Arial"/>
          <w:bCs/>
          <w:lang w:val="es-ES"/>
        </w:rPr>
      </w:pPr>
    </w:p>
    <w:p w14:paraId="55B464B9" w14:textId="7B3AE69D" w:rsidR="00DE067D" w:rsidRDefault="00D32546" w:rsidP="006412F5">
      <w:pPr>
        <w:ind w:left="0" w:firstLine="360"/>
        <w:rPr>
          <w:rFonts w:cs="Arial"/>
          <w:bCs/>
          <w:lang w:val="es-ES"/>
        </w:rPr>
      </w:pPr>
      <w:r w:rsidRPr="00DE067D">
        <w:rPr>
          <w:rFonts w:cs="Arial"/>
          <w:bCs/>
          <w:noProof/>
          <w:lang w:val="es-ES" w:eastAsia="es-ES"/>
        </w:rPr>
        <w:drawing>
          <wp:anchor distT="0" distB="0" distL="114300" distR="114300" simplePos="0" relativeHeight="251615744" behindDoc="1" locked="0" layoutInCell="1" allowOverlap="1" wp14:anchorId="17365971" wp14:editId="00390204">
            <wp:simplePos x="0" y="0"/>
            <wp:positionH relativeFrom="margin">
              <wp:align>left</wp:align>
            </wp:positionH>
            <wp:positionV relativeFrom="paragraph">
              <wp:posOffset>44753</wp:posOffset>
            </wp:positionV>
            <wp:extent cx="3121025" cy="1776095"/>
            <wp:effectExtent l="38100" t="38100" r="41275" b="33655"/>
            <wp:wrapTight wrapText="bothSides">
              <wp:wrapPolygon edited="0">
                <wp:start x="-264" y="-463"/>
                <wp:lineTo x="-264" y="21778"/>
                <wp:lineTo x="21754" y="21778"/>
                <wp:lineTo x="21754" y="-463"/>
                <wp:lineTo x="-264" y="-463"/>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15-02.gif"/>
                    <pic:cNvPicPr/>
                  </pic:nvPicPr>
                  <pic:blipFill rotWithShape="1">
                    <a:blip r:embed="rId17" cstate="print">
                      <a:duotone>
                        <a:prstClr val="black"/>
                        <a:schemeClr val="accent1">
                          <a:tint val="45000"/>
                          <a:satMod val="400000"/>
                        </a:schemeClr>
                      </a:duotone>
                      <a:extLst>
                        <a:ext uri="{28A0092B-C50C-407E-A947-70E740481C1C}">
                          <a14:useLocalDpi xmlns:a14="http://schemas.microsoft.com/office/drawing/2010/main" val="0"/>
                        </a:ext>
                      </a:extLst>
                    </a:blip>
                    <a:srcRect l="5028" t="4763" r="3183" b="6902"/>
                    <a:stretch/>
                  </pic:blipFill>
                  <pic:spPr bwMode="auto">
                    <a:xfrm>
                      <a:off x="0" y="0"/>
                      <a:ext cx="3136782" cy="1785082"/>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67D" w:rsidRPr="00DE067D">
        <w:rPr>
          <w:rFonts w:cs="Arial"/>
          <w:bCs/>
          <w:noProof/>
          <w:lang w:val="es-ES" w:eastAsia="es-ES"/>
        </w:rPr>
        <mc:AlternateContent>
          <mc:Choice Requires="wps">
            <w:drawing>
              <wp:anchor distT="0" distB="0" distL="114300" distR="114300" simplePos="0" relativeHeight="251612672" behindDoc="1" locked="0" layoutInCell="1" allowOverlap="1" wp14:anchorId="1DF26974" wp14:editId="37F9335C">
                <wp:simplePos x="0" y="0"/>
                <wp:positionH relativeFrom="column">
                  <wp:posOffset>-635</wp:posOffset>
                </wp:positionH>
                <wp:positionV relativeFrom="paragraph">
                  <wp:posOffset>1875790</wp:posOffset>
                </wp:positionV>
                <wp:extent cx="2814320" cy="635"/>
                <wp:effectExtent l="0" t="0" r="0" b="0"/>
                <wp:wrapTight wrapText="bothSides">
                  <wp:wrapPolygon edited="0">
                    <wp:start x="0" y="0"/>
                    <wp:lineTo x="0" y="21600"/>
                    <wp:lineTo x="21600" y="21600"/>
                    <wp:lineTo x="21600" y="0"/>
                  </wp:wrapPolygon>
                </wp:wrapTight>
                <wp:docPr id="14" name="Cuadro de texto 14"/>
                <wp:cNvGraphicFramePr/>
                <a:graphic xmlns:a="http://schemas.openxmlformats.org/drawingml/2006/main">
                  <a:graphicData uri="http://schemas.microsoft.com/office/word/2010/wordprocessingShape">
                    <wps:wsp>
                      <wps:cNvSpPr txBox="1"/>
                      <wps:spPr>
                        <a:xfrm>
                          <a:off x="0" y="0"/>
                          <a:ext cx="2814320" cy="635"/>
                        </a:xfrm>
                        <a:prstGeom prst="rect">
                          <a:avLst/>
                        </a:prstGeom>
                        <a:solidFill>
                          <a:prstClr val="white"/>
                        </a:solidFill>
                        <a:ln>
                          <a:noFill/>
                        </a:ln>
                        <a:effectLst/>
                      </wps:spPr>
                      <wps:txbx>
                        <w:txbxContent>
                          <w:p w14:paraId="76CA101B" w14:textId="77777777" w:rsidR="00A5627F" w:rsidRPr="00977E2B" w:rsidRDefault="00A5627F" w:rsidP="00DE067D">
                            <w:pPr>
                              <w:pStyle w:val="Descripcin"/>
                              <w:rPr>
                                <w:noProof/>
                              </w:rPr>
                            </w:pPr>
                          </w:p>
                          <w:p w14:paraId="40D8E29B" w14:textId="77777777" w:rsidR="00A5627F" w:rsidRDefault="00A5627F"/>
                          <w:p w14:paraId="7EE02077" w14:textId="77777777" w:rsidR="00A5627F" w:rsidRPr="00977E2B" w:rsidRDefault="00A5627F" w:rsidP="00DE067D">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F26974" id="Cuadro de texto 14" o:spid="_x0000_s1033" type="#_x0000_t202" style="position:absolute;left:0;text-align:left;margin-left:-.05pt;margin-top:147.7pt;width:221.6pt;height:.0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" stroked="f">
                <v:textbox style="mso-fit-shape-to-text:t" inset="0,0,0,0">
                  <w:txbxContent>
                    <w:p w14:paraId="76CA101B" w14:textId="77777777" w:rsidR="00A5627F" w:rsidRPr="00977E2B" w:rsidRDefault="00A5627F" w:rsidP="00DE067D">
                      <w:pPr>
                        <w:pStyle w:val="Descripcin"/>
                        <w:rPr>
                          <w:noProof/>
                        </w:rPr>
                      </w:pPr>
                    </w:p>
                    <w:p w14:paraId="40D8E29B" w14:textId="77777777" w:rsidR="00A5627F" w:rsidRDefault="00A5627F"/>
                    <w:p w14:paraId="7EE02077" w14:textId="77777777" w:rsidR="00A5627F" w:rsidRPr="00977E2B" w:rsidRDefault="00A5627F" w:rsidP="00DE067D">
                      <w:pPr>
                        <w:pStyle w:val="Descripcin"/>
                        <w:rPr>
                          <w:noProof/>
                        </w:rPr>
                      </w:pPr>
                    </w:p>
                  </w:txbxContent>
                </v:textbox>
                <w10:wrap type="tight"/>
              </v:shape>
            </w:pict>
          </mc:Fallback>
        </mc:AlternateContent>
      </w:r>
      <w:r w:rsidR="00DE067D" w:rsidRPr="00DE067D">
        <w:rPr>
          <w:rFonts w:cs="Arial"/>
          <w:bCs/>
          <w:lang w:val="es-ES"/>
        </w:rPr>
        <w:t xml:space="preserve">En la imagen de la izquierda se refleja el proceso que ha de seguir un medicamento desde que se comienza a investigar hasta alcanzar su aprobación final. </w:t>
      </w:r>
    </w:p>
    <w:p w14:paraId="1F66D7C0" w14:textId="77777777" w:rsidR="00DE067D" w:rsidRPr="00DE067D" w:rsidRDefault="00DE067D" w:rsidP="00DE067D">
      <w:pPr>
        <w:ind w:left="0"/>
        <w:rPr>
          <w:rFonts w:cs="Arial"/>
          <w:bCs/>
          <w:lang w:val="es-ES"/>
        </w:rPr>
      </w:pPr>
    </w:p>
    <w:p w14:paraId="0B6D2C18" w14:textId="1DAE04C1" w:rsidR="00DE067D" w:rsidRDefault="006412F5" w:rsidP="006412F5">
      <w:pPr>
        <w:ind w:left="0" w:firstLine="360"/>
        <w:rPr>
          <w:rFonts w:cs="Arial"/>
          <w:bCs/>
          <w:lang w:val="es-ES"/>
        </w:rPr>
      </w:pPr>
      <w:r>
        <w:rPr>
          <w:noProof/>
          <w:lang w:val="es-ES" w:eastAsia="es-ES"/>
        </w:rPr>
        <mc:AlternateContent>
          <mc:Choice Requires="wps">
            <w:drawing>
              <wp:anchor distT="0" distB="0" distL="114300" distR="114300" simplePos="0" relativeHeight="251619840" behindDoc="1" locked="0" layoutInCell="1" allowOverlap="1" wp14:anchorId="5424BD55" wp14:editId="6AA2B117">
                <wp:simplePos x="0" y="0"/>
                <wp:positionH relativeFrom="column">
                  <wp:posOffset>37783</wp:posOffset>
                </wp:positionH>
                <wp:positionV relativeFrom="paragraph">
                  <wp:posOffset>901700</wp:posOffset>
                </wp:positionV>
                <wp:extent cx="3122295" cy="635"/>
                <wp:effectExtent l="0" t="0" r="0" b="0"/>
                <wp:wrapTight wrapText="bothSides">
                  <wp:wrapPolygon edited="0">
                    <wp:start x="0" y="0"/>
                    <wp:lineTo x="0" y="21600"/>
                    <wp:lineTo x="21600" y="21600"/>
                    <wp:lineTo x="21600" y="0"/>
                  </wp:wrapPolygon>
                </wp:wrapTight>
                <wp:docPr id="16" name="Cuadro de texto 16"/>
                <wp:cNvGraphicFramePr/>
                <a:graphic xmlns:a="http://schemas.openxmlformats.org/drawingml/2006/main">
                  <a:graphicData uri="http://schemas.microsoft.com/office/word/2010/wordprocessingShape">
                    <wps:wsp>
                      <wps:cNvSpPr txBox="1"/>
                      <wps:spPr>
                        <a:xfrm>
                          <a:off x="0" y="0"/>
                          <a:ext cx="3122295" cy="635"/>
                        </a:xfrm>
                        <a:prstGeom prst="rect">
                          <a:avLst/>
                        </a:prstGeom>
                        <a:solidFill>
                          <a:prstClr val="white"/>
                        </a:solidFill>
                        <a:ln>
                          <a:noFill/>
                        </a:ln>
                        <a:effectLst/>
                      </wps:spPr>
                      <wps:txbx>
                        <w:txbxContent>
                          <w:p w14:paraId="1AAC96A6" w14:textId="5FDA5089" w:rsidR="00A5627F" w:rsidRPr="00DE067D" w:rsidRDefault="00A5627F" w:rsidP="00795BF2">
                            <w:pPr>
                              <w:pStyle w:val="Descripcin"/>
                              <w:jc w:val="center"/>
                              <w:rPr>
                                <w:rFonts w:cs="Arial"/>
                                <w:lang w:val="es-ES"/>
                              </w:rPr>
                            </w:pPr>
                            <w:bookmarkStart w:id="33" w:name="_Toc399754056"/>
                            <w:bookmarkStart w:id="34" w:name="_Toc400008709"/>
                            <w:bookmarkStart w:id="35" w:name="_Toc400525281"/>
                            <w:r w:rsidRPr="00DE067D">
                              <w:rPr>
                                <w:lang w:val="es-ES"/>
                              </w:rPr>
                              <w:t xml:space="preserve">Ilustración </w:t>
                            </w:r>
                            <w:r>
                              <w:rPr>
                                <w:lang w:val="es-ES"/>
                              </w:rPr>
                              <w:fldChar w:fldCharType="begin"/>
                            </w:r>
                            <w:r>
                              <w:rPr>
                                <w:lang w:val="es-ES"/>
                              </w:rPr>
                              <w:instrText xml:space="preserve"> SEQ Ilustración \* ARABIC </w:instrText>
                            </w:r>
                            <w:r>
                              <w:rPr>
                                <w:lang w:val="es-ES"/>
                              </w:rPr>
                              <w:fldChar w:fldCharType="separate"/>
                            </w:r>
                            <w:r w:rsidR="0099684C">
                              <w:rPr>
                                <w:noProof/>
                                <w:lang w:val="es-ES"/>
                              </w:rPr>
                              <w:t>6</w:t>
                            </w:r>
                            <w:r>
                              <w:rPr>
                                <w:lang w:val="es-ES"/>
                              </w:rPr>
                              <w:fldChar w:fldCharType="end"/>
                            </w:r>
                            <w:r w:rsidRPr="00DE067D">
                              <w:rPr>
                                <w:lang w:val="es-ES"/>
                              </w:rPr>
                              <w:t xml:space="preserve"> - Proceso de descubrimiento, investigación, ensayo y aprobación de un medicamento.</w:t>
                            </w:r>
                            <w:bookmarkEnd w:id="33"/>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4BD55" id="Cuadro de texto 16" o:spid="_x0000_s1034" type="#_x0000_t202" style="position:absolute;left:0;text-align:left;margin-left:3pt;margin-top:71pt;width:245.85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" stroked="f">
                <v:textbox style="mso-fit-shape-to-text:t" inset="0,0,0,0">
                  <w:txbxContent>
                    <w:p w14:paraId="1AAC96A6" w14:textId="5FDA5089" w:rsidR="00A5627F" w:rsidRPr="00DE067D" w:rsidRDefault="00A5627F" w:rsidP="00795BF2">
                      <w:pPr>
                        <w:pStyle w:val="Descripcin"/>
                        <w:jc w:val="center"/>
                        <w:rPr>
                          <w:rFonts w:cs="Arial"/>
                          <w:lang w:val="es-ES"/>
                        </w:rPr>
                      </w:pPr>
                      <w:bookmarkStart w:id="36" w:name="_Toc399754056"/>
                      <w:bookmarkStart w:id="37" w:name="_Toc400008709"/>
                      <w:bookmarkStart w:id="38" w:name="_Toc400525281"/>
                      <w:r w:rsidRPr="00DE067D">
                        <w:rPr>
                          <w:lang w:val="es-ES"/>
                        </w:rPr>
                        <w:t xml:space="preserve">Ilustración </w:t>
                      </w:r>
                      <w:r>
                        <w:rPr>
                          <w:lang w:val="es-ES"/>
                        </w:rPr>
                        <w:fldChar w:fldCharType="begin"/>
                      </w:r>
                      <w:r>
                        <w:rPr>
                          <w:lang w:val="es-ES"/>
                        </w:rPr>
                        <w:instrText xml:space="preserve"> SEQ Ilustración \* ARABIC </w:instrText>
                      </w:r>
                      <w:r>
                        <w:rPr>
                          <w:lang w:val="es-ES"/>
                        </w:rPr>
                        <w:fldChar w:fldCharType="separate"/>
                      </w:r>
                      <w:r w:rsidR="0099684C">
                        <w:rPr>
                          <w:noProof/>
                          <w:lang w:val="es-ES"/>
                        </w:rPr>
                        <w:t>6</w:t>
                      </w:r>
                      <w:r>
                        <w:rPr>
                          <w:lang w:val="es-ES"/>
                        </w:rPr>
                        <w:fldChar w:fldCharType="end"/>
                      </w:r>
                      <w:r w:rsidRPr="00DE067D">
                        <w:rPr>
                          <w:lang w:val="es-ES"/>
                        </w:rPr>
                        <w:t xml:space="preserve"> - Proceso de descubrimiento, investigación, ensayo y aprobación de un medicamento.</w:t>
                      </w:r>
                      <w:bookmarkEnd w:id="36"/>
                      <w:bookmarkEnd w:id="37"/>
                      <w:bookmarkEnd w:id="38"/>
                    </w:p>
                  </w:txbxContent>
                </v:textbox>
                <w10:wrap type="tight"/>
              </v:shape>
            </w:pict>
          </mc:Fallback>
        </mc:AlternateContent>
      </w:r>
      <w:r w:rsidR="00DE067D" w:rsidRPr="00DE067D">
        <w:rPr>
          <w:rFonts w:cs="Arial"/>
          <w:bCs/>
          <w:lang w:val="es-ES"/>
        </w:rPr>
        <w:t>Como se puede ver el periodo medio necesario para obtener la aprobaci</w:t>
      </w:r>
      <w:r w:rsidR="00DE067D">
        <w:rPr>
          <w:rFonts w:cs="Arial"/>
          <w:bCs/>
          <w:lang w:val="es-ES"/>
        </w:rPr>
        <w:t>ón de un</w:t>
      </w:r>
      <w:r w:rsidR="00DE067D" w:rsidRPr="00DE067D">
        <w:rPr>
          <w:rFonts w:cs="Arial"/>
          <w:bCs/>
          <w:lang w:val="es-ES"/>
        </w:rPr>
        <w:t xml:space="preserve"> nuev</w:t>
      </w:r>
      <w:r w:rsidR="00DE067D">
        <w:rPr>
          <w:rFonts w:cs="Arial"/>
          <w:bCs/>
          <w:lang w:val="es-ES"/>
        </w:rPr>
        <w:t>o</w:t>
      </w:r>
      <w:r w:rsidR="00DE067D" w:rsidRPr="00DE067D">
        <w:rPr>
          <w:rFonts w:cs="Arial"/>
          <w:bCs/>
          <w:lang w:val="es-ES"/>
        </w:rPr>
        <w:t xml:space="preserve"> </w:t>
      </w:r>
      <w:r w:rsidR="00DE067D">
        <w:rPr>
          <w:rFonts w:cs="Arial"/>
          <w:bCs/>
          <w:lang w:val="es-ES"/>
        </w:rPr>
        <w:t>fármaco</w:t>
      </w:r>
      <w:r w:rsidR="00DE067D" w:rsidRPr="00DE067D">
        <w:rPr>
          <w:rFonts w:cs="Arial"/>
          <w:bCs/>
          <w:lang w:val="es-ES"/>
        </w:rPr>
        <w:t xml:space="preserve"> varía entre los 12 y 15 años. Se ha de tener en cuenta que por cada medicamento que finalmente sale al mercado hay otros nueve que no pasan de la fase de ensayos </w:t>
      </w:r>
      <w:r w:rsidR="00DE067D" w:rsidRPr="00DE067D">
        <w:rPr>
          <w:rFonts w:cs="Arial"/>
          <w:bCs/>
          <w:lang w:val="es-ES"/>
        </w:rPr>
        <w:lastRenderedPageBreak/>
        <w:t xml:space="preserve">clínicos con humanos, ya sea por no cumplen los objetivos clínicos buscados por los investigadores o por que no consiguen la aprobación de la correspondiente agencia gubernamental por no alcanzar con </w:t>
      </w:r>
      <w:r w:rsidR="008E16B6">
        <w:rPr>
          <w:rFonts w:cs="Arial"/>
          <w:bCs/>
          <w:lang w:val="es-ES"/>
        </w:rPr>
        <w:t>los requisitos legales impuestos por ésta.</w:t>
      </w:r>
    </w:p>
    <w:p w14:paraId="0A706650" w14:textId="77777777" w:rsidR="008E16B6" w:rsidRDefault="008E16B6" w:rsidP="00DE067D">
      <w:pPr>
        <w:ind w:left="0"/>
        <w:rPr>
          <w:rFonts w:cs="Arial"/>
          <w:bCs/>
          <w:lang w:val="es-ES"/>
        </w:rPr>
      </w:pPr>
    </w:p>
    <w:p w14:paraId="1A4E83BC" w14:textId="77777777" w:rsidR="008E16B6" w:rsidRDefault="008E16B6" w:rsidP="008E16B6">
      <w:pPr>
        <w:keepNext/>
        <w:ind w:left="0"/>
      </w:pPr>
      <w:r w:rsidRPr="008E16B6">
        <w:rPr>
          <w:rFonts w:cs="Arial"/>
          <w:bCs/>
          <w:noProof/>
          <w:lang w:val="es-ES" w:eastAsia="es-ES"/>
        </w:rPr>
        <w:drawing>
          <wp:inline distT="0" distB="0" distL="0" distR="0" wp14:anchorId="162B4007" wp14:editId="1443FFCC">
            <wp:extent cx="5260318" cy="2628845"/>
            <wp:effectExtent l="38100" t="38100" r="36195" b="387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2).png"/>
                    <pic:cNvPicPr/>
                  </pic:nvPicPr>
                  <pic:blipFill rotWithShape="1">
                    <a:blip r:embed="rId18" cstate="print">
                      <a:duotone>
                        <a:prstClr val="black"/>
                        <a:schemeClr val="accent1">
                          <a:tint val="45000"/>
                          <a:satMod val="400000"/>
                        </a:schemeClr>
                      </a:duotone>
                      <a:extLst>
                        <a:ext uri="{28A0092B-C50C-407E-A947-70E740481C1C}">
                          <a14:useLocalDpi xmlns:a14="http://schemas.microsoft.com/office/drawing/2010/main" val="0"/>
                        </a:ext>
                      </a:extLst>
                    </a:blip>
                    <a:srcRect l="4366" t="5276" r="5853" b="8116"/>
                    <a:stretch/>
                  </pic:blipFill>
                  <pic:spPr bwMode="auto">
                    <a:xfrm>
                      <a:off x="0" y="0"/>
                      <a:ext cx="5269214" cy="2633291"/>
                    </a:xfrm>
                    <a:prstGeom prst="rect">
                      <a:avLst/>
                    </a:prstGeom>
                    <a:noFill/>
                    <a:ln w="28575">
                      <a:solidFill>
                        <a:schemeClr val="accent1"/>
                      </a:solidFill>
                    </a:ln>
                    <a:extLst>
                      <a:ext uri="{53640926-AAD7-44D8-BBD7-CCE9431645EC}">
                        <a14:shadowObscured xmlns:a14="http://schemas.microsoft.com/office/drawing/2010/main"/>
                      </a:ext>
                    </a:extLst>
                  </pic:spPr>
                </pic:pic>
              </a:graphicData>
            </a:graphic>
          </wp:inline>
        </w:drawing>
      </w:r>
    </w:p>
    <w:p w14:paraId="0D19B32B" w14:textId="57C708EF" w:rsidR="008E16B6" w:rsidRPr="008E16B6" w:rsidRDefault="008E16B6" w:rsidP="008E16B6">
      <w:pPr>
        <w:pStyle w:val="Descripcin"/>
        <w:jc w:val="center"/>
        <w:rPr>
          <w:rFonts w:cs="Arial"/>
          <w:lang w:val="es-ES"/>
        </w:rPr>
      </w:pPr>
      <w:bookmarkStart w:id="39" w:name="_Toc399754057"/>
      <w:bookmarkStart w:id="40" w:name="_Toc400008710"/>
      <w:bookmarkStart w:id="41" w:name="_Toc400525282"/>
      <w:r w:rsidRPr="008E16B6">
        <w:rPr>
          <w:lang w:val="es-ES"/>
        </w:rPr>
        <w:t xml:space="preserve">Ilustración </w:t>
      </w:r>
      <w:r w:rsidR="00795BF2">
        <w:rPr>
          <w:lang w:val="es-ES"/>
        </w:rPr>
        <w:fldChar w:fldCharType="begin"/>
      </w:r>
      <w:r w:rsidR="00795BF2">
        <w:rPr>
          <w:lang w:val="es-ES"/>
        </w:rPr>
        <w:instrText xml:space="preserve"> SEQ Ilustración \* ARABIC </w:instrText>
      </w:r>
      <w:r w:rsidR="00795BF2">
        <w:rPr>
          <w:lang w:val="es-ES"/>
        </w:rPr>
        <w:fldChar w:fldCharType="separate"/>
      </w:r>
      <w:r w:rsidR="0099684C">
        <w:rPr>
          <w:noProof/>
          <w:lang w:val="es-ES"/>
        </w:rPr>
        <w:t>7</w:t>
      </w:r>
      <w:r w:rsidR="00795BF2">
        <w:rPr>
          <w:lang w:val="es-ES"/>
        </w:rPr>
        <w:fldChar w:fldCharType="end"/>
      </w:r>
      <w:r w:rsidRPr="008E16B6">
        <w:rPr>
          <w:lang w:val="es-ES"/>
        </w:rPr>
        <w:t xml:space="preserve"> - Gasto medio de las principales compañías farmacéuticas en I+D por cada fármaco que sale al mercado.</w:t>
      </w:r>
      <w:bookmarkEnd w:id="39"/>
      <w:bookmarkEnd w:id="40"/>
      <w:bookmarkEnd w:id="41"/>
    </w:p>
    <w:p w14:paraId="7F86DCE9" w14:textId="77777777" w:rsidR="008E16B6" w:rsidRDefault="008E16B6" w:rsidP="008E16B6">
      <w:pPr>
        <w:ind w:left="0"/>
        <w:rPr>
          <w:rFonts w:cs="Arial"/>
          <w:bCs/>
          <w:lang w:val="es-ES"/>
        </w:rPr>
      </w:pPr>
    </w:p>
    <w:p w14:paraId="2DFB20EF" w14:textId="77777777" w:rsidR="008E16B6" w:rsidRPr="008E16B6" w:rsidRDefault="008E16B6" w:rsidP="006412F5">
      <w:pPr>
        <w:ind w:left="0" w:firstLine="360"/>
        <w:rPr>
          <w:rFonts w:cs="Arial"/>
          <w:bCs/>
          <w:lang w:val="es-ES"/>
        </w:rPr>
      </w:pPr>
      <w:r w:rsidRPr="008E16B6">
        <w:rPr>
          <w:rFonts w:cs="Arial"/>
          <w:bCs/>
          <w:lang w:val="es-ES"/>
        </w:rPr>
        <w:t>La tabla de arriba pertenece a un artículo publicado en la revista Forbes en 2012, en ésta se muestra el gasto medio en investigación y desarrollo que ha supuesto para las grandes compañías farmacéuticas cada medicamento que, finalmente, han conseguido sacar al mercado. Durante años la creencia era que el coste estaba en torno a 1.000 millones de dólares. Sin embargo, los números nos muestran que el coste de fabricación medio por fármaco es de unos 4.000 millones de dólares y que hay compañías, como es AstraZeneca, a las que cada medicamento que ponen a la venta les ha costado casi 12.000 millones de dólares.</w:t>
      </w:r>
    </w:p>
    <w:p w14:paraId="25AEFF59" w14:textId="628A6468" w:rsidR="00346081" w:rsidRPr="008E16B6" w:rsidRDefault="00346081" w:rsidP="00254CF3">
      <w:pPr>
        <w:ind w:left="0"/>
        <w:rPr>
          <w:rFonts w:cs="Arial"/>
          <w:bCs/>
          <w:lang w:val="es-ES"/>
        </w:rPr>
      </w:pPr>
    </w:p>
    <w:p w14:paraId="2B5DBE21" w14:textId="77777777" w:rsidR="008E16B6" w:rsidRDefault="008E16B6" w:rsidP="006412F5">
      <w:pPr>
        <w:ind w:left="0" w:firstLine="360"/>
        <w:rPr>
          <w:rFonts w:cs="Arial"/>
          <w:lang w:val="es-ES"/>
        </w:rPr>
      </w:pPr>
      <w:r w:rsidRPr="008E16B6">
        <w:rPr>
          <w:rFonts w:cs="Arial"/>
          <w:lang w:val="es-ES"/>
        </w:rPr>
        <w:t>Visto el alto coste en términos de tiempo y dinero que supone para las compañías farmacéuticas el desarrollo de un nuevo medicamento resulta lógico que estás quieran obtener un rendimiento económico de sus esfuerzos. Aquí es donde entran en juego los sistemas de patentes.</w:t>
      </w:r>
    </w:p>
    <w:p w14:paraId="2AF2EB8D" w14:textId="77777777" w:rsidR="008E16B6" w:rsidRPr="008E16B6" w:rsidRDefault="008E16B6" w:rsidP="008E16B6">
      <w:pPr>
        <w:ind w:left="0"/>
        <w:rPr>
          <w:rFonts w:cs="Arial"/>
          <w:lang w:val="es-ES"/>
        </w:rPr>
      </w:pPr>
    </w:p>
    <w:p w14:paraId="1E1AD129" w14:textId="4407AA06" w:rsidR="003E1F1C" w:rsidRDefault="008F2412" w:rsidP="006412F5">
      <w:pPr>
        <w:ind w:left="0" w:firstLine="360"/>
        <w:rPr>
          <w:rFonts w:cs="Arial"/>
          <w:lang w:val="es-ES"/>
        </w:rPr>
      </w:pPr>
      <w:r>
        <w:rPr>
          <w:rFonts w:cs="Arial"/>
          <w:lang w:val="es-ES"/>
        </w:rPr>
        <w:t>Nos vamos a centrar en el sistema europeo que por cercanía y aplicabilidad es el que, sin duda, nos toca más de cerca.</w:t>
      </w:r>
      <w:r w:rsidR="00291F4E">
        <w:rPr>
          <w:rFonts w:cs="Arial"/>
          <w:lang w:val="es-ES"/>
        </w:rPr>
        <w:t xml:space="preserve"> El eje sobre el que giran las patentes europeas es el Convenio sobre la Patente Europea de 1973 </w:t>
      </w:r>
      <w:r w:rsidR="00150CA5">
        <w:rPr>
          <w:rFonts w:cs="Arial"/>
          <w:lang w:val="es-ES"/>
        </w:rPr>
        <w:t xml:space="preserve">(CPE - Convenio de Múnich) </w:t>
      </w:r>
      <w:r w:rsidR="00291F4E">
        <w:rPr>
          <w:rFonts w:cs="Arial"/>
          <w:lang w:val="es-ES"/>
        </w:rPr>
        <w:t>pero que fue profundamente revisado en noviembre del año 2000.</w:t>
      </w:r>
      <w:r w:rsidR="003E1F1C">
        <w:rPr>
          <w:rFonts w:cs="Arial"/>
          <w:lang w:val="es-ES"/>
        </w:rPr>
        <w:t xml:space="preserve"> Como hemos avanzado anteriormente es más que previsible que un corto periodo de tiempo entre en juego la patente unitaria europea, pero esto no debe de ser un motivo de preocupación puesto que como se define en el art. 2 b) y c) del reglamento que autoriza la creación de la patente unitaria europea, el reglamento 1257/201, la patente europea y la patente europea con efecto unitario son:</w:t>
      </w:r>
    </w:p>
    <w:p w14:paraId="16025CE3" w14:textId="77777777" w:rsidR="003E1F1C" w:rsidRPr="00795BF2" w:rsidRDefault="003E1F1C" w:rsidP="008E16B6">
      <w:pPr>
        <w:ind w:left="0"/>
        <w:rPr>
          <w:rFonts w:cs="Arial"/>
          <w:color w:val="595959" w:themeColor="text1" w:themeTint="A6"/>
          <w:lang w:val="es-ES"/>
        </w:rPr>
      </w:pPr>
    </w:p>
    <w:p w14:paraId="0B7430D7" w14:textId="0F53712F" w:rsidR="003E1F1C" w:rsidRPr="00795BF2" w:rsidRDefault="003E1F1C" w:rsidP="003E1F1C">
      <w:pPr>
        <w:ind w:left="567" w:right="567"/>
        <w:rPr>
          <w:rFonts w:cs="Arial"/>
          <w:i/>
          <w:color w:val="595959" w:themeColor="text1" w:themeTint="A6"/>
          <w:lang w:val="es-ES"/>
        </w:rPr>
      </w:pPr>
      <w:r w:rsidRPr="00795BF2">
        <w:rPr>
          <w:rFonts w:cs="Arial"/>
          <w:i/>
          <w:color w:val="595959" w:themeColor="text1" w:themeTint="A6"/>
          <w:lang w:val="es-ES"/>
        </w:rPr>
        <w:t>“…«patente europea»: una patente concedida por la Oficina Europea de Patentes (en lo sucesivo, «la OEP») con arreglo a las normas y procedimientos establecidos en el CPE;</w:t>
      </w:r>
    </w:p>
    <w:p w14:paraId="165393E4" w14:textId="77777777" w:rsidR="003E1F1C" w:rsidRPr="00795BF2" w:rsidRDefault="003E1F1C" w:rsidP="003E1F1C">
      <w:pPr>
        <w:ind w:left="567" w:right="567"/>
        <w:rPr>
          <w:rFonts w:cs="Arial"/>
          <w:i/>
          <w:color w:val="595959" w:themeColor="text1" w:themeTint="A6"/>
          <w:lang w:val="es-ES"/>
        </w:rPr>
      </w:pPr>
    </w:p>
    <w:p w14:paraId="7F52F9B3" w14:textId="7E0B33C8" w:rsidR="003E1F1C" w:rsidRPr="00795BF2" w:rsidRDefault="003E1F1C" w:rsidP="003E1F1C">
      <w:pPr>
        <w:ind w:left="567" w:right="567"/>
        <w:rPr>
          <w:rFonts w:cs="Arial"/>
          <w:i/>
          <w:color w:val="595959" w:themeColor="text1" w:themeTint="A6"/>
          <w:lang w:val="es-ES"/>
        </w:rPr>
      </w:pPr>
      <w:r w:rsidRPr="00795BF2">
        <w:rPr>
          <w:rFonts w:cs="Arial"/>
          <w:i/>
          <w:color w:val="595959" w:themeColor="text1" w:themeTint="A6"/>
          <w:lang w:val="es-ES"/>
        </w:rPr>
        <w:t>«patente europea con efecto unitario»: una patente europea que goza de efecto unitario en los Estados miembros participantes en virtud del presente Reglamento…”</w:t>
      </w:r>
    </w:p>
    <w:p w14:paraId="1F44124F" w14:textId="77777777" w:rsidR="003E1F1C" w:rsidRDefault="003E1F1C" w:rsidP="008E16B6">
      <w:pPr>
        <w:ind w:left="0"/>
        <w:rPr>
          <w:rFonts w:cs="Arial"/>
          <w:lang w:val="es-ES"/>
        </w:rPr>
      </w:pPr>
    </w:p>
    <w:p w14:paraId="4443509F" w14:textId="05D6DF60" w:rsidR="008E16B6" w:rsidRDefault="008F2412" w:rsidP="008E16B6">
      <w:pPr>
        <w:ind w:left="0"/>
        <w:rPr>
          <w:rFonts w:cs="Arial"/>
          <w:lang w:val="es-ES"/>
        </w:rPr>
      </w:pPr>
      <w:r>
        <w:rPr>
          <w:rFonts w:cs="Arial"/>
          <w:lang w:val="es-ES"/>
        </w:rPr>
        <w:t>El art. 52.1 del Convenio sobre la Patente Europea, establece cuales son los criterios de patentabilidad:</w:t>
      </w:r>
    </w:p>
    <w:p w14:paraId="27DDCA5E" w14:textId="77777777" w:rsidR="008F2412" w:rsidRDefault="008F2412" w:rsidP="008E16B6">
      <w:pPr>
        <w:ind w:left="0"/>
        <w:rPr>
          <w:rFonts w:cs="Arial"/>
          <w:lang w:val="es-ES"/>
        </w:rPr>
      </w:pPr>
    </w:p>
    <w:p w14:paraId="54ABD06E" w14:textId="7E00A27E" w:rsidR="008F2412" w:rsidRPr="00275CEA" w:rsidRDefault="008F2412" w:rsidP="008F2412">
      <w:pPr>
        <w:ind w:left="567" w:right="567"/>
        <w:rPr>
          <w:rFonts w:cs="Arial"/>
          <w:i/>
          <w:color w:val="595959" w:themeColor="text1" w:themeTint="A6"/>
          <w:lang w:val="es-ES"/>
        </w:rPr>
      </w:pPr>
      <w:r w:rsidRPr="00275CEA">
        <w:rPr>
          <w:rFonts w:cs="Arial"/>
          <w:b/>
          <w:bCs/>
          <w:i/>
          <w:color w:val="595959" w:themeColor="text1" w:themeTint="A6"/>
          <w:lang w:val="es-ES"/>
        </w:rPr>
        <w:t>“</w:t>
      </w:r>
      <w:r w:rsidRPr="00275CEA">
        <w:rPr>
          <w:rFonts w:cs="Arial"/>
          <w:i/>
          <w:color w:val="595959" w:themeColor="text1" w:themeTint="A6"/>
          <w:lang w:val="es-ES"/>
        </w:rPr>
        <w:t>Las patentes europeas se concederán para cualquier invención en todos los ámbitos tecnológicos, a condición de que sea nueva, que suponga una actividad inventiva y que sea susceptible de aplicación industrial.”</w:t>
      </w:r>
    </w:p>
    <w:p w14:paraId="44EE3101" w14:textId="77777777" w:rsidR="008F2412" w:rsidRDefault="008F2412" w:rsidP="008F2412">
      <w:pPr>
        <w:ind w:left="0" w:right="567"/>
        <w:rPr>
          <w:rFonts w:cs="Arial"/>
          <w:i/>
          <w:lang w:val="es-ES"/>
        </w:rPr>
      </w:pPr>
    </w:p>
    <w:p w14:paraId="39873387" w14:textId="67AB9E3C" w:rsidR="001633E6" w:rsidRPr="001633E6" w:rsidRDefault="001633E6" w:rsidP="001633E6">
      <w:pPr>
        <w:pStyle w:val="Ttulo2"/>
        <w:rPr>
          <w:lang w:val="es-ES"/>
        </w:rPr>
      </w:pPr>
      <w:bookmarkStart w:id="42" w:name="_Toc400525384"/>
      <w:r>
        <w:rPr>
          <w:lang w:val="es-ES"/>
        </w:rPr>
        <w:t xml:space="preserve">2.2. </w:t>
      </w:r>
      <w:r w:rsidRPr="001633E6">
        <w:rPr>
          <w:lang w:val="es-ES"/>
        </w:rPr>
        <w:t>Requisitos específicos de las patentes farmacéuticas.</w:t>
      </w:r>
      <w:bookmarkEnd w:id="42"/>
    </w:p>
    <w:p w14:paraId="295D2AC8" w14:textId="77777777" w:rsidR="001633E6" w:rsidRDefault="001633E6" w:rsidP="00291F4E">
      <w:pPr>
        <w:ind w:left="0"/>
        <w:rPr>
          <w:rFonts w:cs="Arial"/>
          <w:lang w:val="es-ES"/>
        </w:rPr>
      </w:pPr>
    </w:p>
    <w:p w14:paraId="5DB88949" w14:textId="36FFD915" w:rsidR="008840BB" w:rsidRDefault="008840BB" w:rsidP="008840BB">
      <w:pPr>
        <w:pStyle w:val="Ttulo3"/>
        <w:ind w:left="0"/>
        <w:rPr>
          <w:lang w:val="es-ES"/>
        </w:rPr>
      </w:pPr>
      <w:bookmarkStart w:id="43" w:name="_Toc400525385"/>
      <w:r w:rsidRPr="008840BB">
        <w:rPr>
          <w:lang w:val="es-ES"/>
        </w:rPr>
        <w:t xml:space="preserve">2.2.1. </w:t>
      </w:r>
      <w:r>
        <w:rPr>
          <w:lang w:val="es-ES"/>
        </w:rPr>
        <w:t>Aplicabilidad industrial.</w:t>
      </w:r>
      <w:bookmarkEnd w:id="43"/>
    </w:p>
    <w:p w14:paraId="1037C20A" w14:textId="77777777" w:rsidR="008840BB" w:rsidRDefault="008840BB" w:rsidP="008840BB">
      <w:pPr>
        <w:ind w:left="0"/>
        <w:rPr>
          <w:lang w:val="es-ES"/>
        </w:rPr>
      </w:pPr>
    </w:p>
    <w:p w14:paraId="43DC1B54" w14:textId="65F49693" w:rsidR="00CC77BA" w:rsidRDefault="008840BB" w:rsidP="006412F5">
      <w:pPr>
        <w:ind w:left="0" w:firstLine="360"/>
        <w:rPr>
          <w:lang w:val="es-ES"/>
        </w:rPr>
      </w:pPr>
      <w:r>
        <w:rPr>
          <w:lang w:val="es-ES"/>
        </w:rPr>
        <w:t>La aplicabilidad industrial es uno de los requisitos del art. 52.1 de la EPC. Es más que posible que un científico o una compañía farmacéutica, en el curso de sus investigaciones, descubra un nuevo compuesto químico o una materia orgánica que fuera desconocida hasta la fecha, sin embargo, el hecho de descubrirlo no le da derecho a patentarlo. Es necesario para poder obtener la protección de la patente que ese nuevo compuesto pueda tener una aplicación industrial, es decir que en solitario o en conjunto con otros compuestos</w:t>
      </w:r>
      <w:r w:rsidR="00CC77BA">
        <w:rPr>
          <w:lang w:val="es-ES"/>
        </w:rPr>
        <w:t xml:space="preserve"> pueda tener un efecto biológico beneficioso digno de mención. Se harán test in vitro o in vivo para comprobar sus efectos. Estos efectos podrían ser beneficioso para la sociedad, por lo que el compuesto cumplirá con el requisito de aplicabilidad industrial del art. 52 EPC. </w:t>
      </w:r>
    </w:p>
    <w:p w14:paraId="0E3D6FBE" w14:textId="77777777" w:rsidR="00CC77BA" w:rsidRDefault="00CC77BA" w:rsidP="00291F4E">
      <w:pPr>
        <w:ind w:left="0"/>
        <w:rPr>
          <w:lang w:val="es-ES"/>
        </w:rPr>
      </w:pPr>
    </w:p>
    <w:p w14:paraId="65C2E3B8" w14:textId="1393342B" w:rsidR="00CC77BA" w:rsidRDefault="00CC77BA" w:rsidP="006412F5">
      <w:pPr>
        <w:ind w:left="0" w:firstLine="360"/>
        <w:rPr>
          <w:lang w:val="es-ES"/>
        </w:rPr>
      </w:pPr>
      <w:r>
        <w:rPr>
          <w:lang w:val="es-ES"/>
        </w:rPr>
        <w:t>Como ya se ha mencionado anteriormente un nuevo fármaco necesita una aprobación oficial por parte de los entes regulatorios antes de poder venderse, pero el requisito de aplicabilidad industrial debe ser satisfecho mucho antes de que esto acurra. Es probable que solo una pequeña cantidad de todas las patentes de los compuestos de uso farmacéutico que son concedidas protejan posteriormente un medicamento autorizado para su puesta a la circulación en el mercado.</w:t>
      </w:r>
    </w:p>
    <w:p w14:paraId="1145158A" w14:textId="77777777" w:rsidR="00CC77BA" w:rsidRDefault="00CC77BA" w:rsidP="00291F4E">
      <w:pPr>
        <w:ind w:left="0"/>
        <w:rPr>
          <w:lang w:val="es-ES"/>
        </w:rPr>
      </w:pPr>
    </w:p>
    <w:p w14:paraId="2258004A" w14:textId="37DE6F10" w:rsidR="00CC77BA" w:rsidRDefault="00CC77BA" w:rsidP="006412F5">
      <w:pPr>
        <w:ind w:left="0" w:firstLine="360"/>
        <w:rPr>
          <w:lang w:val="es-ES"/>
        </w:rPr>
      </w:pPr>
      <w:r>
        <w:rPr>
          <w:lang w:val="es-ES"/>
        </w:rPr>
        <w:t>En la descripción de la patente se ha de mencionar de manera expresa cual es el uso que se le va a dar al compuesto que se desea proteger. Si no se hace mención a esta utilidad es probable que no exista una aplicabilidad industrial, pero también es posible que no exista una actividad inventiva.</w:t>
      </w:r>
    </w:p>
    <w:p w14:paraId="0F09BD44" w14:textId="77777777" w:rsidR="00E80E3B" w:rsidRDefault="00E80E3B" w:rsidP="00291F4E">
      <w:pPr>
        <w:ind w:left="0"/>
        <w:rPr>
          <w:lang w:val="es-ES"/>
        </w:rPr>
      </w:pPr>
    </w:p>
    <w:p w14:paraId="5DF494DE" w14:textId="12405835" w:rsidR="00CC77BA" w:rsidRDefault="00E80E3B" w:rsidP="006412F5">
      <w:pPr>
        <w:ind w:left="0" w:firstLine="360"/>
        <w:rPr>
          <w:lang w:val="es-ES"/>
        </w:rPr>
      </w:pPr>
      <w:r>
        <w:rPr>
          <w:lang w:val="es-ES"/>
        </w:rPr>
        <w:t xml:space="preserve">En la mayor parte de los casos los solicitantes de patentes describirán en la solicitud algún tipo de experimento que se haya llevado  cabo con el objetivo de demostrar el más que posible efecto terapéutico. Estos experimentos normalmente se habrán hecho in vitro o con animales. Es muy normal que </w:t>
      </w:r>
      <w:r w:rsidR="00275CEA">
        <w:rPr>
          <w:lang w:val="es-ES"/>
        </w:rPr>
        <w:t xml:space="preserve">entre </w:t>
      </w:r>
      <w:r>
        <w:rPr>
          <w:lang w:val="es-ES"/>
        </w:rPr>
        <w:t>los resultados entre este tipo de experimentos y los posteriores con humanos varíen notablemente, pero desde el punto de vista de la legislación sobre patentes se considera que este tipo de experimentación es más que suficiente para demostrar la aplicabilidad industrial.</w:t>
      </w:r>
    </w:p>
    <w:p w14:paraId="038E44FF" w14:textId="77777777" w:rsidR="00E80E3B" w:rsidRDefault="00E80E3B" w:rsidP="00291F4E">
      <w:pPr>
        <w:ind w:left="0"/>
        <w:rPr>
          <w:lang w:val="es-ES"/>
        </w:rPr>
      </w:pPr>
    </w:p>
    <w:p w14:paraId="03F99892" w14:textId="736ED77C" w:rsidR="00E80E3B" w:rsidRDefault="00E80E3B" w:rsidP="006412F5">
      <w:pPr>
        <w:ind w:left="0" w:firstLine="360"/>
        <w:rPr>
          <w:lang w:val="es-ES"/>
        </w:rPr>
      </w:pPr>
      <w:r>
        <w:rPr>
          <w:lang w:val="es-ES"/>
        </w:rPr>
        <w:t>Sin embargo cuando es un oponente el que cuestio</w:t>
      </w:r>
      <w:r w:rsidR="000F0D8F">
        <w:rPr>
          <w:lang w:val="es-ES"/>
        </w:rPr>
        <w:t>na la validez de esos experimentos</w:t>
      </w:r>
      <w:r w:rsidR="00A94D57">
        <w:rPr>
          <w:lang w:val="es-ES"/>
        </w:rPr>
        <w:t xml:space="preserve"> hechos por el solicitante, los ensayos posteriores a realzar suelen ser más complejos. Ambas partes podrán realizar experimentos pr</w:t>
      </w:r>
      <w:r w:rsidR="000F0D8F">
        <w:rPr>
          <w:lang w:val="es-ES"/>
        </w:rPr>
        <w:t xml:space="preserve">ácticos y la Oficina </w:t>
      </w:r>
      <w:r w:rsidR="00A94D57">
        <w:rPr>
          <w:lang w:val="es-ES"/>
        </w:rPr>
        <w:t>comparar</w:t>
      </w:r>
      <w:r w:rsidR="000F0D8F">
        <w:rPr>
          <w:lang w:val="es-ES"/>
        </w:rPr>
        <w:t>á</w:t>
      </w:r>
      <w:r w:rsidR="00A94D57">
        <w:rPr>
          <w:lang w:val="es-ES"/>
        </w:rPr>
        <w:t xml:space="preserve"> los resultados ofrecidos por éstos.</w:t>
      </w:r>
      <w:r w:rsidR="000F0D8F">
        <w:rPr>
          <w:lang w:val="es-ES"/>
        </w:rPr>
        <w:t xml:space="preserve"> Esto se traduce en que en una oposición relativa a la aplicabilidad industrial de l</w:t>
      </w:r>
      <w:r w:rsidR="008E5FFD">
        <w:rPr>
          <w:lang w:val="es-ES"/>
        </w:rPr>
        <w:t>a invención no basta con que</w:t>
      </w:r>
      <w:r w:rsidR="000F0D8F">
        <w:rPr>
          <w:lang w:val="es-ES"/>
        </w:rPr>
        <w:t xml:space="preserve"> el opositor simplemente estime que la invención no funciona sino que tendrá que demostrarlo mediante experimentos prácticos, que además han de ser de tal naturaleza que puedan ser repetidos por el solicitante.</w:t>
      </w:r>
    </w:p>
    <w:p w14:paraId="1A8AA2CE" w14:textId="022096FF" w:rsidR="00E56294" w:rsidRDefault="00E56294" w:rsidP="00291F4E">
      <w:pPr>
        <w:ind w:left="0"/>
        <w:rPr>
          <w:lang w:val="es-ES"/>
        </w:rPr>
      </w:pPr>
    </w:p>
    <w:p w14:paraId="2C64E273" w14:textId="77777777" w:rsidR="006412F5" w:rsidRDefault="006412F5" w:rsidP="00291F4E">
      <w:pPr>
        <w:ind w:left="0"/>
        <w:rPr>
          <w:lang w:val="es-ES"/>
        </w:rPr>
      </w:pPr>
    </w:p>
    <w:p w14:paraId="1B3CAF5F" w14:textId="16590849" w:rsidR="00E56294" w:rsidRDefault="00E56294" w:rsidP="00E56294">
      <w:pPr>
        <w:pStyle w:val="Ttulo3"/>
        <w:ind w:left="0"/>
        <w:rPr>
          <w:lang w:val="es-ES"/>
        </w:rPr>
      </w:pPr>
      <w:bookmarkStart w:id="44" w:name="_Toc400525386"/>
      <w:r>
        <w:rPr>
          <w:lang w:val="es-ES"/>
        </w:rPr>
        <w:lastRenderedPageBreak/>
        <w:t>2.2.2. Descripción suficiente.</w:t>
      </w:r>
      <w:bookmarkEnd w:id="44"/>
    </w:p>
    <w:p w14:paraId="45F65649" w14:textId="77777777" w:rsidR="00E56294" w:rsidRDefault="00E56294" w:rsidP="00E56294">
      <w:pPr>
        <w:ind w:left="0"/>
        <w:rPr>
          <w:lang w:val="es-ES"/>
        </w:rPr>
      </w:pPr>
    </w:p>
    <w:p w14:paraId="2FC3C62B" w14:textId="4116D4BD" w:rsidR="008E5FFD" w:rsidRDefault="008E5FFD" w:rsidP="006412F5">
      <w:pPr>
        <w:ind w:left="0" w:firstLine="360"/>
        <w:rPr>
          <w:lang w:val="es-ES"/>
        </w:rPr>
      </w:pPr>
      <w:r>
        <w:rPr>
          <w:lang w:val="es-ES"/>
        </w:rPr>
        <w:t xml:space="preserve">En la industria farmacéutica, con el objetivo de dar continuidad de la investigación y para evitar el gasto innecesario de recursos resultante de la duplicación de proyectos, es muy importante la publicación de la información resultante de </w:t>
      </w:r>
      <w:r w:rsidR="002842CE">
        <w:rPr>
          <w:lang w:val="es-ES"/>
        </w:rPr>
        <w:t xml:space="preserve">las investigaciones que se estén, o se hayan llevado, a cabo. Es habitual en campos como el médico o el farmacéutico que se publiquen en artículos de divulgación científica los resultados de los ensayos y proyectos de investigación que se están llevando a cabo. Pero normalmente estos artículos entran en juego en fases muy avanzadas o finales de la investigación. Para que las empresas e investigadores sepan a lo que sus competidores y colegas están destinando sus esfuerzos </w:t>
      </w:r>
      <w:r w:rsidR="0039332C">
        <w:rPr>
          <w:lang w:val="es-ES"/>
        </w:rPr>
        <w:t xml:space="preserve">con normalidad </w:t>
      </w:r>
      <w:r w:rsidR="002842CE">
        <w:rPr>
          <w:lang w:val="es-ES"/>
        </w:rPr>
        <w:t>acud</w:t>
      </w:r>
      <w:r w:rsidR="0039332C">
        <w:rPr>
          <w:lang w:val="es-ES"/>
        </w:rPr>
        <w:t>e</w:t>
      </w:r>
      <w:r w:rsidR="002842CE">
        <w:rPr>
          <w:lang w:val="es-ES"/>
        </w:rPr>
        <w:t>n al registro de patentes correspondiente, ya sea el nacional o supranacional. Debido a la obligación que, para obtener la aprobación de las agencias regulatorias, tienen los investigadores de patentar sus invenciones en fases muy tempranas del desarrollo de los fármacos, los registros de patentes se han convertido en amplísimas bases de datos (informatizadas)</w:t>
      </w:r>
      <w:r w:rsidR="0039332C">
        <w:rPr>
          <w:lang w:val="es-ES"/>
        </w:rPr>
        <w:t xml:space="preserve"> y de fácil acceso para todos los interesados en los avances que se producen en el campo.</w:t>
      </w:r>
      <w:r w:rsidR="002842CE">
        <w:rPr>
          <w:lang w:val="es-ES"/>
        </w:rPr>
        <w:t xml:space="preserve"> </w:t>
      </w:r>
      <w:r w:rsidR="00CD182D">
        <w:rPr>
          <w:lang w:val="es-ES"/>
        </w:rPr>
        <w:t>Por esta razón la descripción de la patente ha de ser correcta y veraz.</w:t>
      </w:r>
    </w:p>
    <w:p w14:paraId="63B1805E" w14:textId="77777777" w:rsidR="008E5FFD" w:rsidRDefault="008E5FFD" w:rsidP="00E56294">
      <w:pPr>
        <w:ind w:left="0"/>
        <w:rPr>
          <w:lang w:val="es-ES"/>
        </w:rPr>
      </w:pPr>
    </w:p>
    <w:p w14:paraId="709FA338" w14:textId="79F4E3C4" w:rsidR="00E56294" w:rsidRDefault="00E56294" w:rsidP="00E56294">
      <w:pPr>
        <w:ind w:left="0"/>
        <w:rPr>
          <w:lang w:val="es-ES"/>
        </w:rPr>
      </w:pPr>
      <w:r>
        <w:rPr>
          <w:lang w:val="es-ES"/>
        </w:rPr>
        <w:t>El art. 83 de la EPC dice así:</w:t>
      </w:r>
    </w:p>
    <w:p w14:paraId="66EBAA65" w14:textId="77777777" w:rsidR="00E56294" w:rsidRDefault="00E56294" w:rsidP="00E56294">
      <w:pPr>
        <w:ind w:left="0"/>
        <w:rPr>
          <w:lang w:val="es-ES"/>
        </w:rPr>
      </w:pPr>
    </w:p>
    <w:p w14:paraId="64E62C5C" w14:textId="5D82FC0A" w:rsidR="00E56294" w:rsidRPr="00795BF2" w:rsidRDefault="00E56294" w:rsidP="00E56294">
      <w:pPr>
        <w:ind w:left="567" w:right="567"/>
        <w:rPr>
          <w:i/>
          <w:color w:val="595959" w:themeColor="text1" w:themeTint="A6"/>
          <w:lang w:val="es-ES"/>
        </w:rPr>
      </w:pPr>
      <w:r w:rsidRPr="00795BF2">
        <w:rPr>
          <w:i/>
          <w:color w:val="595959" w:themeColor="text1" w:themeTint="A6"/>
          <w:lang w:val="es-ES"/>
        </w:rPr>
        <w:t>“La invención debe ser descrita en la solicitud de patente europea de manera suficientemente clara y completa para que un experto sobre la materia pueda aplicarla.”</w:t>
      </w:r>
    </w:p>
    <w:p w14:paraId="1F6BEE43" w14:textId="77777777" w:rsidR="00E56294" w:rsidRPr="00E56294" w:rsidRDefault="00E56294" w:rsidP="00817CF8">
      <w:pPr>
        <w:pStyle w:val="Etiquetadefilas"/>
        <w:spacing w:before="0"/>
        <w:rPr>
          <w:lang w:val="es-ES"/>
        </w:rPr>
      </w:pPr>
    </w:p>
    <w:p w14:paraId="461A07A9" w14:textId="1E1353BB" w:rsidR="00E56294" w:rsidRDefault="00E56294" w:rsidP="006412F5">
      <w:pPr>
        <w:ind w:left="0" w:right="567" w:firstLine="360"/>
        <w:rPr>
          <w:lang w:val="es-ES"/>
        </w:rPr>
      </w:pPr>
      <w:r w:rsidRPr="00E56294">
        <w:rPr>
          <w:lang w:val="es-ES"/>
        </w:rPr>
        <w:t>Por tanto, la solicitud de la patente</w:t>
      </w:r>
      <w:r>
        <w:rPr>
          <w:lang w:val="es-ES"/>
        </w:rPr>
        <w:t xml:space="preserve"> debe contener la información de cómo se ha de usar la invención y que pasos se han de seguir sí que quiere conseguir los efectos que se han alcanzado con dicha invención</w:t>
      </w:r>
      <w:r w:rsidR="0039332C">
        <w:rPr>
          <w:lang w:val="es-ES"/>
        </w:rPr>
        <w:t xml:space="preserve"> y esta ha de poder ser entendida por un hombre experto en la materia</w:t>
      </w:r>
      <w:r>
        <w:rPr>
          <w:lang w:val="es-ES"/>
        </w:rPr>
        <w:t>. Tradicionalmente, en el campo farmacéutico, a diferencia de en otros sectores, la información más valiosa no es cómo se ha producido el compuesto sino cuál va a ser uso. La cada vez más importante presencia de la biotecnología y la aparición de compuestos cada vez más grandes y complejos han modificado esta</w:t>
      </w:r>
      <w:r w:rsidR="00667EF2">
        <w:rPr>
          <w:lang w:val="es-ES"/>
        </w:rPr>
        <w:t xml:space="preserve"> situación puesto que ahora su fabricación es más ardua</w:t>
      </w:r>
      <w:r>
        <w:rPr>
          <w:lang w:val="es-ES"/>
        </w:rPr>
        <w:t>.</w:t>
      </w:r>
    </w:p>
    <w:p w14:paraId="704A4E28" w14:textId="77777777" w:rsidR="0039332C" w:rsidRDefault="0039332C" w:rsidP="00667EF2">
      <w:pPr>
        <w:ind w:left="0" w:right="567"/>
        <w:rPr>
          <w:lang w:val="es-ES"/>
        </w:rPr>
      </w:pPr>
    </w:p>
    <w:p w14:paraId="10BBBE1C" w14:textId="1B7A5A38" w:rsidR="0039332C" w:rsidRDefault="0039332C" w:rsidP="006412F5">
      <w:pPr>
        <w:ind w:left="0" w:right="567" w:firstLine="360"/>
        <w:rPr>
          <w:lang w:val="es-ES"/>
        </w:rPr>
      </w:pPr>
      <w:r>
        <w:rPr>
          <w:lang w:val="es-ES"/>
        </w:rPr>
        <w:t>La publicación del “know-how” o el cómo se hace no será imprescindible siempre que un experto en la materia pueda llegar al efecto que persigue la invención sin la necesidad de tener esta información.</w:t>
      </w:r>
    </w:p>
    <w:p w14:paraId="4892807F" w14:textId="77777777" w:rsidR="00667EF2" w:rsidRDefault="00667EF2" w:rsidP="00667EF2">
      <w:pPr>
        <w:ind w:left="0" w:right="567"/>
        <w:rPr>
          <w:lang w:val="es-ES"/>
        </w:rPr>
      </w:pPr>
    </w:p>
    <w:p w14:paraId="68F6B7AF" w14:textId="77777777" w:rsidR="00971230" w:rsidRDefault="00667EF2" w:rsidP="006412F5">
      <w:pPr>
        <w:ind w:left="0" w:right="567" w:firstLine="360"/>
        <w:rPr>
          <w:lang w:val="es-ES"/>
        </w:rPr>
      </w:pPr>
      <w:r>
        <w:rPr>
          <w:lang w:val="es-ES"/>
        </w:rPr>
        <w:t xml:space="preserve">En el art. 83 nos encontramos con la controvertida expresión del </w:t>
      </w:r>
      <w:r w:rsidRPr="00667EF2">
        <w:rPr>
          <w:i/>
          <w:lang w:val="es-ES"/>
        </w:rPr>
        <w:t>“experto en la materia”</w:t>
      </w:r>
      <w:r>
        <w:rPr>
          <w:lang w:val="es-ES"/>
        </w:rPr>
        <w:t>.</w:t>
      </w:r>
      <w:r w:rsidR="0039332C">
        <w:rPr>
          <w:lang w:val="es-ES"/>
        </w:rPr>
        <w:t xml:space="preserve"> Esta expresión, que en inglés será </w:t>
      </w:r>
      <w:r w:rsidR="0039332C" w:rsidRPr="0039332C">
        <w:rPr>
          <w:i/>
          <w:lang w:val="es-ES"/>
        </w:rPr>
        <w:t>“the man skilled in the art”</w:t>
      </w:r>
      <w:r w:rsidR="0039332C">
        <w:rPr>
          <w:lang w:val="es-ES"/>
        </w:rPr>
        <w:t>, se invoca habitualmente cuando se trabaja en asuntos de IP.</w:t>
      </w:r>
      <w:r>
        <w:rPr>
          <w:lang w:val="es-ES"/>
        </w:rPr>
        <w:t xml:space="preserve"> </w:t>
      </w:r>
      <w:r w:rsidR="0039332C">
        <w:rPr>
          <w:lang w:val="es-ES"/>
        </w:rPr>
        <w:t>Este concepto es sin duda complejo y ambiguo puesto que no ha sido definido objetivamente qué o quién  es “un experto en la materia”.</w:t>
      </w:r>
    </w:p>
    <w:p w14:paraId="62B9A793" w14:textId="77777777" w:rsidR="00971230" w:rsidRDefault="00971230" w:rsidP="00667EF2">
      <w:pPr>
        <w:ind w:left="0" w:right="567"/>
        <w:rPr>
          <w:lang w:val="es-ES"/>
        </w:rPr>
      </w:pPr>
    </w:p>
    <w:p w14:paraId="69D4D4B4" w14:textId="52ECE4A9" w:rsidR="0039332C" w:rsidRDefault="0039332C" w:rsidP="006412F5">
      <w:pPr>
        <w:ind w:left="0" w:right="567" w:firstLine="360"/>
        <w:rPr>
          <w:lang w:val="es-ES"/>
        </w:rPr>
      </w:pPr>
      <w:r>
        <w:rPr>
          <w:lang w:val="es-ES"/>
        </w:rPr>
        <w:t>Obviamente dependerá de la materia sobre la que verse la patente, puesto que nadie puede ser experto en todos los ca</w:t>
      </w:r>
      <w:r w:rsidR="00971230">
        <w:rPr>
          <w:lang w:val="es-ES"/>
        </w:rPr>
        <w:t>mpos de conocimiento existentes</w:t>
      </w:r>
      <w:r>
        <w:rPr>
          <w:lang w:val="es-ES"/>
        </w:rPr>
        <w:t xml:space="preserve">. Una misma patente puede ser objeto de la experiencia de personas diversas o, por ejemplo, </w:t>
      </w:r>
      <w:r w:rsidR="00971230">
        <w:rPr>
          <w:lang w:val="es-ES"/>
        </w:rPr>
        <w:t xml:space="preserve">cuando se hay existe una oposición a la concesión de una </w:t>
      </w:r>
      <w:r>
        <w:rPr>
          <w:lang w:val="es-ES"/>
        </w:rPr>
        <w:t>patente dependiendo del objeto de la patente el experto en la materia podrá variar.</w:t>
      </w:r>
    </w:p>
    <w:p w14:paraId="550B2C18" w14:textId="77777777" w:rsidR="00971230" w:rsidRDefault="00971230" w:rsidP="00667EF2">
      <w:pPr>
        <w:ind w:left="0" w:right="567"/>
        <w:rPr>
          <w:lang w:val="es-ES"/>
        </w:rPr>
      </w:pPr>
    </w:p>
    <w:p w14:paraId="3C573DF4" w14:textId="71CE1E0D" w:rsidR="00971230" w:rsidRDefault="00971230" w:rsidP="006412F5">
      <w:pPr>
        <w:ind w:left="0" w:right="567" w:firstLine="360"/>
        <w:rPr>
          <w:lang w:val="es-ES"/>
        </w:rPr>
      </w:pPr>
      <w:r>
        <w:rPr>
          <w:lang w:val="es-ES"/>
        </w:rPr>
        <w:t>Además del objeto de conocimiento del experto, además se habrá de fijar el nivel de conocimiento necesario en la materia.</w:t>
      </w:r>
      <w:r w:rsidR="00CD182D">
        <w:rPr>
          <w:lang w:val="es-ES"/>
        </w:rPr>
        <w:t xml:space="preserve"> Será una persona que trata con problemas de la misma naturaleza en su ejercicio profesional diario  el que sirva como punto de referencia o incluso un equipo o grupo de personas.</w:t>
      </w:r>
    </w:p>
    <w:p w14:paraId="0B63C0CD" w14:textId="77777777" w:rsidR="00CD182D" w:rsidRDefault="00CD182D" w:rsidP="00667EF2">
      <w:pPr>
        <w:ind w:left="0" w:right="567"/>
        <w:rPr>
          <w:lang w:val="es-ES"/>
        </w:rPr>
      </w:pPr>
    </w:p>
    <w:p w14:paraId="0CE8377E" w14:textId="4D6EE235" w:rsidR="00CD182D" w:rsidRDefault="00CD182D" w:rsidP="006412F5">
      <w:pPr>
        <w:ind w:left="0" w:right="567" w:firstLine="360"/>
        <w:rPr>
          <w:lang w:val="es-ES"/>
        </w:rPr>
      </w:pPr>
      <w:r>
        <w:rPr>
          <w:lang w:val="es-ES"/>
        </w:rPr>
        <w:lastRenderedPageBreak/>
        <w:t xml:space="preserve">Por último, se ha de esclarecer cual es el nivel de esfuerzo que se espera del “experto en la materia”. La cantidad de tiempo/esfuerzo necesario total para el experto en la materia no puede suponer una carga excesiva para este.  </w:t>
      </w:r>
    </w:p>
    <w:p w14:paraId="61E7961B" w14:textId="215DB4C3" w:rsidR="00971230" w:rsidRPr="00E56294" w:rsidRDefault="00971230" w:rsidP="00667EF2">
      <w:pPr>
        <w:ind w:left="0" w:right="567"/>
        <w:rPr>
          <w:lang w:val="es-ES"/>
        </w:rPr>
      </w:pPr>
    </w:p>
    <w:p w14:paraId="1E6BB768" w14:textId="41BE3AC7" w:rsidR="00291F4E" w:rsidRPr="000F0D8F" w:rsidRDefault="002217AE" w:rsidP="002217AE">
      <w:pPr>
        <w:pStyle w:val="Ttulo3"/>
        <w:ind w:left="0"/>
        <w:rPr>
          <w:lang w:val="es-ES"/>
        </w:rPr>
      </w:pPr>
      <w:bookmarkStart w:id="45" w:name="_Toc400525387"/>
      <w:r>
        <w:rPr>
          <w:lang w:val="es-ES"/>
        </w:rPr>
        <w:t>2.2.3. Novedad.</w:t>
      </w:r>
      <w:bookmarkEnd w:id="45"/>
    </w:p>
    <w:p w14:paraId="1E663324" w14:textId="77777777" w:rsidR="004D17BF" w:rsidRPr="008E16B6" w:rsidRDefault="004D17BF" w:rsidP="003B2F46">
      <w:pPr>
        <w:ind w:left="0"/>
        <w:rPr>
          <w:rFonts w:cs="Arial"/>
          <w:lang w:val="es-ES"/>
        </w:rPr>
      </w:pPr>
    </w:p>
    <w:p w14:paraId="51C4C13C" w14:textId="7990A6F2" w:rsidR="004D17BF" w:rsidRDefault="002217AE" w:rsidP="006412F5">
      <w:pPr>
        <w:ind w:left="0" w:firstLine="360"/>
        <w:rPr>
          <w:rFonts w:cs="Arial"/>
          <w:lang w:val="es-ES"/>
        </w:rPr>
      </w:pPr>
      <w:r>
        <w:rPr>
          <w:rFonts w:cs="Arial"/>
          <w:lang w:val="es-ES"/>
        </w:rPr>
        <w:t xml:space="preserve">El requisito de la </w:t>
      </w:r>
      <w:r w:rsidR="000D0F3E">
        <w:rPr>
          <w:rFonts w:cs="Arial"/>
          <w:lang w:val="es-ES"/>
        </w:rPr>
        <w:t>novedad está íntimamente relacionado con el concepto “</w:t>
      </w:r>
      <w:r w:rsidR="000D0F3E" w:rsidRPr="000D0F3E">
        <w:rPr>
          <w:rFonts w:cs="Arial"/>
          <w:i/>
          <w:lang w:val="es-ES"/>
        </w:rPr>
        <w:t>estado de la técnica</w:t>
      </w:r>
      <w:r w:rsidR="000D0F3E">
        <w:rPr>
          <w:rFonts w:cs="Arial"/>
          <w:lang w:val="es-ES"/>
        </w:rPr>
        <w:t>” que proviene del anglicismo “</w:t>
      </w:r>
      <w:r w:rsidR="000D0F3E" w:rsidRPr="000D0F3E">
        <w:rPr>
          <w:rFonts w:cs="Arial"/>
          <w:i/>
          <w:lang w:val="es-ES"/>
        </w:rPr>
        <w:t>state of the art</w:t>
      </w:r>
      <w:r w:rsidR="000D0F3E">
        <w:rPr>
          <w:rFonts w:cs="Arial"/>
          <w:lang w:val="es-ES"/>
        </w:rPr>
        <w:t xml:space="preserve">”. </w:t>
      </w:r>
      <w:r w:rsidR="00602C00">
        <w:rPr>
          <w:rFonts w:cs="Arial"/>
          <w:lang w:val="es-ES"/>
        </w:rPr>
        <w:t>El estado de la técnica es otra forma de llamar a la novedad, es decir lo que no forma parte del estado de la técnica es una novedad. Así de simple. El art. 54 de la EPC, más concretamente en su apartado primero, así lo dice:</w:t>
      </w:r>
    </w:p>
    <w:p w14:paraId="35FF4478" w14:textId="72DA90B3" w:rsidR="00602C00" w:rsidRDefault="00602C00" w:rsidP="003B2F46">
      <w:pPr>
        <w:ind w:left="0"/>
        <w:rPr>
          <w:rFonts w:cs="Arial"/>
          <w:lang w:val="es-ES"/>
        </w:rPr>
      </w:pPr>
    </w:p>
    <w:p w14:paraId="27D644D1" w14:textId="1F38D10D" w:rsidR="00602C00" w:rsidRPr="00795BF2" w:rsidRDefault="00602C00" w:rsidP="00602C00">
      <w:pPr>
        <w:ind w:left="567" w:right="567"/>
        <w:rPr>
          <w:rFonts w:cs="Arial"/>
          <w:i/>
          <w:color w:val="595959" w:themeColor="text1" w:themeTint="A6"/>
          <w:lang w:val="es-ES"/>
        </w:rPr>
      </w:pPr>
      <w:r w:rsidRPr="00795BF2">
        <w:rPr>
          <w:rFonts w:cs="Arial"/>
          <w:bCs/>
          <w:i/>
          <w:color w:val="595959" w:themeColor="text1" w:themeTint="A6"/>
          <w:lang w:val="es-ES"/>
        </w:rPr>
        <w:t>“</w:t>
      </w:r>
      <w:r w:rsidRPr="00795BF2">
        <w:rPr>
          <w:rFonts w:cs="Arial"/>
          <w:b/>
          <w:bCs/>
          <w:i/>
          <w:color w:val="595959" w:themeColor="text1" w:themeTint="A6"/>
          <w:lang w:val="es-ES"/>
        </w:rPr>
        <w:t>1.</w:t>
      </w:r>
      <w:r w:rsidRPr="00795BF2">
        <w:rPr>
          <w:rFonts w:cs="Arial"/>
          <w:i/>
          <w:color w:val="595959" w:themeColor="text1" w:themeTint="A6"/>
          <w:lang w:val="es-ES"/>
        </w:rPr>
        <w:t xml:space="preserve"> Se considera que una invención es nueva cuando no está comprendida en el estado actual de la técnica.</w:t>
      </w:r>
    </w:p>
    <w:p w14:paraId="61B8A601" w14:textId="77777777" w:rsidR="00602C00" w:rsidRPr="00795BF2" w:rsidRDefault="00602C00" w:rsidP="00602C00">
      <w:pPr>
        <w:ind w:left="567" w:right="567"/>
        <w:rPr>
          <w:rFonts w:cs="Arial"/>
          <w:i/>
          <w:color w:val="595959" w:themeColor="text1" w:themeTint="A6"/>
          <w:lang w:val="es-ES"/>
        </w:rPr>
      </w:pPr>
    </w:p>
    <w:p w14:paraId="621AD7D2" w14:textId="77777777" w:rsidR="00602C00" w:rsidRPr="00795BF2" w:rsidRDefault="00602C00" w:rsidP="00602C00">
      <w:pPr>
        <w:ind w:left="567" w:right="567"/>
        <w:rPr>
          <w:rFonts w:cs="Arial"/>
          <w:i/>
          <w:color w:val="595959" w:themeColor="text1" w:themeTint="A6"/>
          <w:lang w:val="es-ES"/>
        </w:rPr>
      </w:pPr>
      <w:r w:rsidRPr="00795BF2">
        <w:rPr>
          <w:rFonts w:cs="Arial"/>
          <w:b/>
          <w:bCs/>
          <w:i/>
          <w:color w:val="595959" w:themeColor="text1" w:themeTint="A6"/>
          <w:lang w:val="es-ES"/>
        </w:rPr>
        <w:t>2.</w:t>
      </w:r>
      <w:r w:rsidRPr="00795BF2">
        <w:rPr>
          <w:rFonts w:cs="Arial"/>
          <w:i/>
          <w:color w:val="595959" w:themeColor="text1" w:themeTint="A6"/>
          <w:lang w:val="es-ES"/>
        </w:rPr>
        <w:t xml:space="preserve"> El estado actual de la técnica está constituido por todo lo que antes de la fecha de depósito de la solicitud de patente europea se haya hecho accesible al público por una descripción escrita u oral, una utilización o por cualquier otro medio.</w:t>
      </w:r>
    </w:p>
    <w:p w14:paraId="03C55CBE" w14:textId="77777777" w:rsidR="00602C00" w:rsidRPr="00795BF2" w:rsidRDefault="00602C00" w:rsidP="00602C00">
      <w:pPr>
        <w:ind w:left="567" w:right="567"/>
        <w:rPr>
          <w:rFonts w:cs="Arial"/>
          <w:i/>
          <w:color w:val="595959" w:themeColor="text1" w:themeTint="A6"/>
          <w:lang w:val="es-ES"/>
        </w:rPr>
      </w:pPr>
    </w:p>
    <w:p w14:paraId="3AD68196" w14:textId="77777777" w:rsidR="00602C00" w:rsidRPr="00795BF2" w:rsidRDefault="00602C00" w:rsidP="00602C00">
      <w:pPr>
        <w:ind w:left="567" w:right="567"/>
        <w:rPr>
          <w:rFonts w:cs="Arial"/>
          <w:i/>
          <w:color w:val="595959" w:themeColor="text1" w:themeTint="A6"/>
          <w:lang w:val="es-ES"/>
        </w:rPr>
      </w:pPr>
      <w:r w:rsidRPr="00795BF2">
        <w:rPr>
          <w:rFonts w:cs="Arial"/>
          <w:b/>
          <w:bCs/>
          <w:i/>
          <w:color w:val="595959" w:themeColor="text1" w:themeTint="A6"/>
          <w:lang w:val="es-ES"/>
        </w:rPr>
        <w:t>3.</w:t>
      </w:r>
      <w:r w:rsidRPr="00795BF2">
        <w:rPr>
          <w:rFonts w:cs="Arial"/>
          <w:i/>
          <w:color w:val="595959" w:themeColor="text1" w:themeTint="A6"/>
          <w:lang w:val="es-ES"/>
        </w:rPr>
        <w:t xml:space="preserve"> Se entiende también comprendido en el estado actual de la técnica el contenido de solicitudes de patente europea tal como hayan sido presentadas, cuya fecha de presentación sea anterior a la que se menciona en el párrafo 2 y que sólo hayan sido objeto de publicación en dicha fecha o en una fecha posterior.</w:t>
      </w:r>
    </w:p>
    <w:p w14:paraId="45839979" w14:textId="77777777" w:rsidR="00602C00" w:rsidRPr="00795BF2" w:rsidRDefault="00602C00" w:rsidP="00602C00">
      <w:pPr>
        <w:ind w:left="567" w:right="567"/>
        <w:rPr>
          <w:rFonts w:cs="Arial"/>
          <w:i/>
          <w:color w:val="595959" w:themeColor="text1" w:themeTint="A6"/>
          <w:lang w:val="es-ES"/>
        </w:rPr>
      </w:pPr>
    </w:p>
    <w:p w14:paraId="5236195A" w14:textId="77777777" w:rsidR="00602C00" w:rsidRPr="00795BF2" w:rsidRDefault="00602C00" w:rsidP="00602C00">
      <w:pPr>
        <w:ind w:left="567" w:right="567"/>
        <w:rPr>
          <w:rFonts w:cs="Arial"/>
          <w:i/>
          <w:color w:val="595959" w:themeColor="text1" w:themeTint="A6"/>
          <w:lang w:val="es-ES"/>
        </w:rPr>
      </w:pPr>
      <w:r w:rsidRPr="00795BF2">
        <w:rPr>
          <w:rFonts w:cs="Arial"/>
          <w:b/>
          <w:bCs/>
          <w:i/>
          <w:color w:val="595959" w:themeColor="text1" w:themeTint="A6"/>
          <w:lang w:val="es-ES"/>
        </w:rPr>
        <w:t>4.</w:t>
      </w:r>
      <w:r w:rsidRPr="00795BF2">
        <w:rPr>
          <w:rFonts w:cs="Arial"/>
          <w:i/>
          <w:color w:val="595959" w:themeColor="text1" w:themeTint="A6"/>
          <w:lang w:val="es-ES"/>
        </w:rPr>
        <w:t xml:space="preserve"> Lo dispuesto en los párrafos 2 y 3 no excluirá la patentabilidad de cualquier sustancia o composición comprendida en el estado actual de la técnica para la utilización en uno de los métodos indicados en el artículo 53, apartado c), a condición de que su utilización para cualquiera de esos métodos no esté comprendida en el estado actual de la técnica.</w:t>
      </w:r>
    </w:p>
    <w:p w14:paraId="64A3967D" w14:textId="77777777" w:rsidR="00602C00" w:rsidRPr="00795BF2" w:rsidRDefault="00602C00" w:rsidP="00602C00">
      <w:pPr>
        <w:ind w:left="567" w:right="567"/>
        <w:rPr>
          <w:rFonts w:cs="Arial"/>
          <w:i/>
          <w:color w:val="595959" w:themeColor="text1" w:themeTint="A6"/>
          <w:lang w:val="es-ES"/>
        </w:rPr>
      </w:pPr>
    </w:p>
    <w:p w14:paraId="007784F0" w14:textId="6D97224F" w:rsidR="00602C00" w:rsidRPr="00795BF2" w:rsidRDefault="00602C00" w:rsidP="00602C00">
      <w:pPr>
        <w:ind w:left="567" w:right="567"/>
        <w:rPr>
          <w:rFonts w:cs="Arial"/>
          <w:i/>
          <w:color w:val="595959" w:themeColor="text1" w:themeTint="A6"/>
          <w:lang w:val="es-ES"/>
        </w:rPr>
      </w:pPr>
      <w:r w:rsidRPr="00795BF2">
        <w:rPr>
          <w:rFonts w:cs="Arial"/>
          <w:b/>
          <w:bCs/>
          <w:i/>
          <w:color w:val="595959" w:themeColor="text1" w:themeTint="A6"/>
          <w:lang w:val="es-ES"/>
        </w:rPr>
        <w:t>5.</w:t>
      </w:r>
      <w:r w:rsidRPr="00795BF2">
        <w:rPr>
          <w:rFonts w:cs="Arial"/>
          <w:i/>
          <w:color w:val="595959" w:themeColor="text1" w:themeTint="A6"/>
          <w:lang w:val="es-ES"/>
        </w:rPr>
        <w:t xml:space="preserve"> Los párrafos 2 y 3 no excluirán ya la patentabilidad de una sustancia o un compuesto de los señalados en el párrafo 4 para toda utilización específica en todo método de los señalados en el artículo 53, apartado c), a condición de que esta utilización no esté comprendida en el estado actual de la técnica.”</w:t>
      </w:r>
    </w:p>
    <w:p w14:paraId="72D129F3" w14:textId="77777777" w:rsidR="00602C00" w:rsidRPr="00602C00" w:rsidRDefault="00602C00" w:rsidP="00602C00">
      <w:pPr>
        <w:ind w:left="0"/>
        <w:rPr>
          <w:rFonts w:cs="Arial"/>
          <w:lang w:val="es-ES"/>
        </w:rPr>
      </w:pPr>
    </w:p>
    <w:p w14:paraId="5D4348BC" w14:textId="6116A6C2" w:rsidR="00602C00" w:rsidRDefault="00602C00" w:rsidP="006412F5">
      <w:pPr>
        <w:ind w:left="0" w:firstLine="360"/>
        <w:rPr>
          <w:rFonts w:cs="Arial"/>
          <w:lang w:val="es-ES"/>
        </w:rPr>
      </w:pPr>
      <w:r w:rsidRPr="00602C00">
        <w:rPr>
          <w:rFonts w:cs="Arial"/>
          <w:lang w:val="es-ES"/>
        </w:rPr>
        <w:t>La novedad</w:t>
      </w:r>
      <w:r>
        <w:rPr>
          <w:rFonts w:cs="Arial"/>
          <w:lang w:val="es-ES"/>
        </w:rPr>
        <w:t xml:space="preserve"> requiere que al menos uno de los aspectos esenciales de la patente no esté comprendido en el estado de la técnica.</w:t>
      </w:r>
      <w:r w:rsidR="00590F40">
        <w:rPr>
          <w:rFonts w:cs="Arial"/>
          <w:lang w:val="es-ES"/>
        </w:rPr>
        <w:t xml:space="preserve"> Se considera que algo está dentro del estado de la técnica todo aquello que ha sido posible encontrar para un experto en la materia en cualquier lugar del mundo, sea cual sea la forma de la divulgación, tal y como se refleja en el aparado segundo del art. 54.</w:t>
      </w:r>
    </w:p>
    <w:p w14:paraId="3D0858E3" w14:textId="77777777" w:rsidR="00590F40" w:rsidRDefault="00590F40" w:rsidP="00602C00">
      <w:pPr>
        <w:ind w:left="0"/>
        <w:rPr>
          <w:rFonts w:cs="Arial"/>
          <w:lang w:val="es-ES"/>
        </w:rPr>
      </w:pPr>
    </w:p>
    <w:p w14:paraId="0446D256" w14:textId="2FF9AC5B" w:rsidR="00590F40" w:rsidRPr="00602C00" w:rsidRDefault="00590F40" w:rsidP="006412F5">
      <w:pPr>
        <w:ind w:left="0" w:firstLine="360"/>
        <w:rPr>
          <w:rFonts w:cs="Arial"/>
          <w:lang w:val="es-ES"/>
        </w:rPr>
      </w:pPr>
      <w:r>
        <w:rPr>
          <w:rFonts w:cs="Arial"/>
          <w:lang w:val="es-ES"/>
        </w:rPr>
        <w:t>Además es necesario que para que una divulgación haga que algo quede dentro del estado de la técnica que esa sea lo suficientemente completa para que un experto en la materia pueda hacer un uso práctico de ella.</w:t>
      </w:r>
      <w:r w:rsidR="005108A7">
        <w:rPr>
          <w:rFonts w:cs="Arial"/>
          <w:lang w:val="es-ES"/>
        </w:rPr>
        <w:t xml:space="preserve"> Por ejemplo, compuestos que se explican sobre el papel que no pueden ser, por la razón que sea, reproducidos en el laboratorio por un experto en la materia no pueden ser considerados como dentro del estado de la técnica.</w:t>
      </w:r>
    </w:p>
    <w:p w14:paraId="342FE907" w14:textId="740C9D23" w:rsidR="00602C00" w:rsidRPr="008E16B6" w:rsidRDefault="00590F40" w:rsidP="003B2F46">
      <w:pPr>
        <w:ind w:left="0"/>
        <w:rPr>
          <w:rFonts w:cs="Arial"/>
          <w:lang w:val="es-ES"/>
        </w:rPr>
      </w:pPr>
      <w:r>
        <w:rPr>
          <w:rFonts w:cs="Arial"/>
          <w:lang w:val="es-ES"/>
        </w:rPr>
        <w:t xml:space="preserve"> </w:t>
      </w:r>
    </w:p>
    <w:p w14:paraId="75AF4E94" w14:textId="2DC85C6F" w:rsidR="00817CF8" w:rsidRDefault="005108A7" w:rsidP="006412F5">
      <w:pPr>
        <w:ind w:left="0" w:firstLine="360"/>
        <w:rPr>
          <w:rFonts w:cs="Arial"/>
          <w:lang w:val="es-ES"/>
        </w:rPr>
      </w:pPr>
      <w:r>
        <w:rPr>
          <w:rFonts w:cs="Arial"/>
          <w:lang w:val="es-ES"/>
        </w:rPr>
        <w:t>La EPO ha dejado claro a lo largo de los años que los requisitos de la divulgación necesarios para que algo pueda considerarse como dentro del estado de la técnica son los mismos que los derivados del art. 83 EPC que ya hemos visto anteriormente. S requiere el mismo nivel de claridad y utilidad práctica que cuando se solicita la protección de una invención mediante una patente.</w:t>
      </w:r>
    </w:p>
    <w:p w14:paraId="7167969A" w14:textId="40266DE3" w:rsidR="00E04044" w:rsidRDefault="00E04044" w:rsidP="00E04044">
      <w:pPr>
        <w:pStyle w:val="Ttulo2"/>
        <w:rPr>
          <w:lang w:val="es-ES"/>
        </w:rPr>
      </w:pPr>
      <w:bookmarkStart w:id="46" w:name="_Toc400525388"/>
      <w:r w:rsidRPr="00E04044">
        <w:rPr>
          <w:lang w:val="es-ES"/>
        </w:rPr>
        <w:lastRenderedPageBreak/>
        <w:t xml:space="preserve">2.3. Certificado </w:t>
      </w:r>
      <w:r>
        <w:rPr>
          <w:lang w:val="es-ES"/>
        </w:rPr>
        <w:t xml:space="preserve">complementario </w:t>
      </w:r>
      <w:r w:rsidRPr="00E04044">
        <w:rPr>
          <w:lang w:val="es-ES"/>
        </w:rPr>
        <w:t>de protección.</w:t>
      </w:r>
      <w:bookmarkEnd w:id="46"/>
    </w:p>
    <w:p w14:paraId="1D527F06" w14:textId="77777777" w:rsidR="00E04044" w:rsidRDefault="00E04044" w:rsidP="00E04044">
      <w:pPr>
        <w:ind w:left="0"/>
        <w:rPr>
          <w:lang w:val="es-ES"/>
        </w:rPr>
      </w:pPr>
    </w:p>
    <w:p w14:paraId="471722F2" w14:textId="5AB8BC9D" w:rsidR="00E04044" w:rsidRDefault="00E04044" w:rsidP="006412F5">
      <w:pPr>
        <w:ind w:left="0" w:firstLine="360"/>
        <w:rPr>
          <w:lang w:val="es-ES"/>
        </w:rPr>
      </w:pPr>
      <w:r>
        <w:rPr>
          <w:lang w:val="es-ES"/>
        </w:rPr>
        <w:t xml:space="preserve">El consejo publicó el 18 de junio de 1992 el </w:t>
      </w:r>
      <w:r w:rsidRPr="00E04044">
        <w:rPr>
          <w:bCs/>
          <w:lang w:val="es-ES"/>
        </w:rPr>
        <w:t>Reglam</w:t>
      </w:r>
      <w:r>
        <w:rPr>
          <w:bCs/>
          <w:lang w:val="es-ES"/>
        </w:rPr>
        <w:t xml:space="preserve">ento </w:t>
      </w:r>
      <w:r w:rsidRPr="00E04044">
        <w:rPr>
          <w:bCs/>
          <w:lang w:val="es-ES"/>
        </w:rPr>
        <w:t>nº 1768/92, relativo a la creación de un certificado complementario de protección para los medicamentos</w:t>
      </w:r>
      <w:r>
        <w:rPr>
          <w:bCs/>
          <w:lang w:val="es-ES"/>
        </w:rPr>
        <w:t xml:space="preserve">. Este reglamento </w:t>
      </w:r>
      <w:r>
        <w:rPr>
          <w:lang w:val="es-ES"/>
        </w:rPr>
        <w:t xml:space="preserve">creó el conocido como </w:t>
      </w:r>
      <w:r w:rsidRPr="00E04044">
        <w:rPr>
          <w:i/>
          <w:lang w:val="es-ES"/>
        </w:rPr>
        <w:t>“Certificado Complementario de Protección”</w:t>
      </w:r>
      <w:r>
        <w:rPr>
          <w:lang w:val="es-ES"/>
        </w:rPr>
        <w:t xml:space="preserve"> (CCP) o “</w:t>
      </w:r>
      <w:r>
        <w:rPr>
          <w:i/>
          <w:lang w:val="es-ES"/>
        </w:rPr>
        <w:t xml:space="preserve">Supplementary Protection Certificate” </w:t>
      </w:r>
      <w:r w:rsidRPr="00E04044">
        <w:rPr>
          <w:lang w:val="es-ES"/>
        </w:rPr>
        <w:t>(SPC)</w:t>
      </w:r>
      <w:r>
        <w:rPr>
          <w:i/>
          <w:lang w:val="es-ES"/>
        </w:rPr>
        <w:t xml:space="preserve"> </w:t>
      </w:r>
      <w:r>
        <w:rPr>
          <w:lang w:val="es-ES"/>
        </w:rPr>
        <w:t>que da el derecho al propietario de una patente a extender su protección durante un periodo adicional que será como máximo de cinco años.</w:t>
      </w:r>
    </w:p>
    <w:p w14:paraId="7C28CC44" w14:textId="77777777" w:rsidR="00E04044" w:rsidRDefault="00E04044" w:rsidP="00E04044">
      <w:pPr>
        <w:ind w:left="0"/>
        <w:rPr>
          <w:lang w:val="es-ES"/>
        </w:rPr>
      </w:pPr>
    </w:p>
    <w:p w14:paraId="77F42F5B" w14:textId="7378B2D6" w:rsidR="00E04044" w:rsidRDefault="00E04044" w:rsidP="006412F5">
      <w:pPr>
        <w:ind w:left="0" w:firstLine="360"/>
        <w:rPr>
          <w:lang w:val="es-ES"/>
        </w:rPr>
      </w:pPr>
      <w:r>
        <w:rPr>
          <w:lang w:val="es-ES"/>
        </w:rPr>
        <w:t>Los CCP</w:t>
      </w:r>
      <w:r w:rsidR="00711A1B">
        <w:rPr>
          <w:lang w:val="es-ES"/>
        </w:rPr>
        <w:t>’</w:t>
      </w:r>
      <w:r>
        <w:rPr>
          <w:lang w:val="es-ES"/>
        </w:rPr>
        <w:t>s fueron introducidos para compensar el largo periodo de tiempo que transcurre desde la solicitud de la patente hasta que el medicamento es autorizado por las agencias competentes para ser comercializado dentro de la Comunidad Económica Europea (CEE). El reglamento establece que los tenedores de una patente y un CCP deberían poder optar a un periodo máximo de protección de quince años desde el momento en que se obtiene la autorización de comercialización en la CEE. El objetivo es dar a los medicamentos un periodo de protección efectiva comparable a otros sectores industriales donde los requisitos anteriores a  la comercialización son menos exigentes.</w:t>
      </w:r>
    </w:p>
    <w:p w14:paraId="7871C263" w14:textId="77777777" w:rsidR="00711A1B" w:rsidRDefault="00711A1B" w:rsidP="00E04044">
      <w:pPr>
        <w:ind w:left="0"/>
        <w:rPr>
          <w:lang w:val="es-ES"/>
        </w:rPr>
      </w:pPr>
    </w:p>
    <w:p w14:paraId="3EA4A742" w14:textId="03BA565C" w:rsidR="00711A1B" w:rsidRPr="00711A1B" w:rsidRDefault="00711A1B" w:rsidP="006412F5">
      <w:pPr>
        <w:ind w:left="0" w:firstLine="360"/>
        <w:rPr>
          <w:lang w:val="es-ES"/>
        </w:rPr>
      </w:pPr>
      <w:r w:rsidRPr="00711A1B">
        <w:rPr>
          <w:lang w:val="es-ES"/>
        </w:rPr>
        <w:t>La solicitud  de un Certificado Complementario de Protecci</w:t>
      </w:r>
      <w:r>
        <w:rPr>
          <w:lang w:val="es-ES"/>
        </w:rPr>
        <w:t>ón debe ser hecha, por separado, en todos los Estados Miembros en un periodo de seis meses desde que se concedió la autorización de comercialización en el estado en cuestión. El objetivo es crear una seguridad jurídica suficiente a los potenciales competidores fabricantes de genéricos, puesto que sabrán con una antelación más que suficiente cuando expirara la protección del medicamento en cuestión.</w:t>
      </w:r>
    </w:p>
    <w:p w14:paraId="02ACA17D" w14:textId="77777777" w:rsidR="00711A1B" w:rsidRDefault="00711A1B" w:rsidP="00E04044">
      <w:pPr>
        <w:ind w:left="0"/>
        <w:rPr>
          <w:lang w:val="es-ES"/>
        </w:rPr>
      </w:pPr>
    </w:p>
    <w:p w14:paraId="72882E53" w14:textId="408E5D4A" w:rsidR="00711A1B" w:rsidRDefault="00711A1B" w:rsidP="006412F5">
      <w:pPr>
        <w:ind w:left="0" w:firstLine="360"/>
        <w:rPr>
          <w:lang w:val="es-ES"/>
        </w:rPr>
      </w:pPr>
      <w:r>
        <w:rPr>
          <w:lang w:val="es-ES"/>
        </w:rPr>
        <w:t>Para calcular de una manera correcta la duración del CCP, el Estado Miembro implicado debe ser informado por el solicitante de la fecha en que se concedió, por primera vez, la autorización de comercialización del producto en cualquier lugar de la CEE. A modo de ejemplo: en 2005 la compañía farmacéutica AstraZeneca fue sancionada con una multa de sesenta millones de euros por la Comisión Europea por informar erróneamente de una manera deliberada de la fecha en que fue concedida dicha autorización.</w:t>
      </w:r>
    </w:p>
    <w:p w14:paraId="6EF5E0DD" w14:textId="6A6F884A" w:rsidR="00312629" w:rsidRDefault="00312629" w:rsidP="00E04044">
      <w:pPr>
        <w:ind w:left="0"/>
        <w:rPr>
          <w:lang w:val="es-ES"/>
        </w:rPr>
      </w:pPr>
    </w:p>
    <w:p w14:paraId="58024720" w14:textId="546BEA76" w:rsidR="00312629" w:rsidRDefault="00312629" w:rsidP="006412F5">
      <w:pPr>
        <w:ind w:left="0" w:firstLine="360"/>
        <w:rPr>
          <w:lang w:val="es-ES"/>
        </w:rPr>
      </w:pPr>
      <w:r>
        <w:rPr>
          <w:lang w:val="es-ES"/>
        </w:rPr>
        <w:t>La tabla de abajo nos sirve para explicar, mediante un ejemplo, cómo funcionan el sistema de concesiones en los CCP’s.</w:t>
      </w:r>
    </w:p>
    <w:p w14:paraId="309DB00F" w14:textId="38C8365F" w:rsidR="00711A1B" w:rsidRDefault="00711A1B" w:rsidP="00E04044">
      <w:pPr>
        <w:ind w:left="0"/>
        <w:rPr>
          <w:b/>
          <w:bCs/>
          <w:color w:val="FFFFFF" w:themeColor="background1"/>
          <w:lang w:val="es-ES"/>
        </w:rPr>
      </w:pPr>
    </w:p>
    <w:tbl>
      <w:tblPr>
        <w:tblStyle w:val="Tabladecuadrcula4-nfasis1"/>
        <w:tblW w:w="0" w:type="auto"/>
        <w:tblLook w:val="04A0" w:firstRow="1" w:lastRow="0" w:firstColumn="1" w:lastColumn="0" w:noHBand="0" w:noVBand="1"/>
      </w:tblPr>
      <w:tblGrid>
        <w:gridCol w:w="8495"/>
      </w:tblGrid>
      <w:tr w:rsidR="00312629" w:rsidRPr="00A5627F" w14:paraId="6283DA68" w14:textId="77777777" w:rsidTr="00312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p w14:paraId="2AC4FF53" w14:textId="77CBD309" w:rsidR="00312629" w:rsidRPr="0042043C" w:rsidRDefault="00312629" w:rsidP="00E04044">
            <w:pPr>
              <w:ind w:left="0"/>
              <w:rPr>
                <w:b w:val="0"/>
                <w:bCs w:val="0"/>
                <w:sz w:val="18"/>
                <w:szCs w:val="18"/>
              </w:rPr>
            </w:pPr>
            <w:r w:rsidRPr="0042043C">
              <w:rPr>
                <w:b w:val="0"/>
                <w:bCs w:val="0"/>
                <w:sz w:val="18"/>
                <w:szCs w:val="18"/>
              </w:rPr>
              <w:t xml:space="preserve">Solicitud de la patente </w:t>
            </w:r>
            <w:r w:rsidRPr="0042043C">
              <w:rPr>
                <w:b w:val="0"/>
                <w:sz w:val="18"/>
                <w:szCs w:val="18"/>
              </w:rPr>
              <w:sym w:font="Wingdings" w:char="F0E0"/>
            </w:r>
            <w:r w:rsidRPr="0042043C">
              <w:rPr>
                <w:b w:val="0"/>
                <w:sz w:val="18"/>
                <w:szCs w:val="18"/>
              </w:rPr>
              <w:t xml:space="preserve"> 1995 / Extinción de la patente </w:t>
            </w:r>
            <w:r w:rsidRPr="0042043C">
              <w:rPr>
                <w:b w:val="0"/>
                <w:bCs w:val="0"/>
                <w:sz w:val="18"/>
                <w:szCs w:val="18"/>
              </w:rPr>
              <w:sym w:font="Wingdings" w:char="F0E0"/>
            </w:r>
            <w:r w:rsidRPr="0042043C">
              <w:rPr>
                <w:b w:val="0"/>
                <w:bCs w:val="0"/>
                <w:sz w:val="18"/>
                <w:szCs w:val="18"/>
              </w:rPr>
              <w:t xml:space="preserve"> 2015 (20 años más tarde)</w:t>
            </w:r>
          </w:p>
        </w:tc>
      </w:tr>
      <w:tr w:rsidR="00312629" w:rsidRPr="00A5627F" w14:paraId="08AC916C" w14:textId="77777777" w:rsidTr="00312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p w14:paraId="775EBE04" w14:textId="477FB88E" w:rsidR="00312629" w:rsidRPr="0042043C" w:rsidRDefault="00312629" w:rsidP="00312629">
            <w:pPr>
              <w:ind w:left="0"/>
              <w:rPr>
                <w:b w:val="0"/>
                <w:bCs w:val="0"/>
                <w:color w:val="FFFFFF" w:themeColor="background1"/>
                <w:sz w:val="18"/>
                <w:szCs w:val="18"/>
              </w:rPr>
            </w:pPr>
            <w:r w:rsidRPr="0042043C">
              <w:rPr>
                <w:b w:val="0"/>
                <w:bCs w:val="0"/>
                <w:color w:val="000000" w:themeColor="text1"/>
                <w:sz w:val="18"/>
                <w:szCs w:val="18"/>
              </w:rPr>
              <w:t xml:space="preserve">Autorización en la UE = 2000 </w:t>
            </w:r>
            <w:r w:rsidRPr="0042043C">
              <w:rPr>
                <w:b w:val="0"/>
                <w:color w:val="000000" w:themeColor="text1"/>
                <w:sz w:val="18"/>
                <w:szCs w:val="18"/>
              </w:rPr>
              <w:sym w:font="Wingdings" w:char="F0E0"/>
            </w:r>
            <w:r w:rsidRPr="0042043C">
              <w:rPr>
                <w:b w:val="0"/>
                <w:color w:val="000000" w:themeColor="text1"/>
                <w:sz w:val="18"/>
                <w:szCs w:val="18"/>
              </w:rPr>
              <w:t xml:space="preserve"> 15 años de protección de patente. No CCP. Periodo total de protección 15 años. La protección se extingue en 2015</w:t>
            </w:r>
          </w:p>
        </w:tc>
      </w:tr>
      <w:tr w:rsidR="00312629" w14:paraId="2555386D" w14:textId="77777777" w:rsidTr="00312629">
        <w:tc>
          <w:tcPr>
            <w:cnfStyle w:val="001000000000" w:firstRow="0" w:lastRow="0" w:firstColumn="1" w:lastColumn="0" w:oddVBand="0" w:evenVBand="0" w:oddHBand="0" w:evenHBand="0" w:firstRowFirstColumn="0" w:firstRowLastColumn="0" w:lastRowFirstColumn="0" w:lastRowLastColumn="0"/>
            <w:tcW w:w="8495" w:type="dxa"/>
          </w:tcPr>
          <w:p w14:paraId="5F539A59" w14:textId="022BD373" w:rsidR="00312629" w:rsidRPr="0042043C" w:rsidRDefault="00312629" w:rsidP="00E04044">
            <w:pPr>
              <w:ind w:left="0"/>
              <w:rPr>
                <w:b w:val="0"/>
                <w:bCs w:val="0"/>
                <w:color w:val="000000" w:themeColor="text1"/>
                <w:sz w:val="18"/>
                <w:szCs w:val="18"/>
              </w:rPr>
            </w:pPr>
            <w:r w:rsidRPr="0042043C">
              <w:rPr>
                <w:b w:val="0"/>
                <w:bCs w:val="0"/>
                <w:color w:val="000000" w:themeColor="text1"/>
                <w:sz w:val="18"/>
                <w:szCs w:val="18"/>
              </w:rPr>
              <w:t xml:space="preserve">Autorización en la UE = 2003 </w:t>
            </w:r>
            <w:r w:rsidRPr="0042043C">
              <w:rPr>
                <w:b w:val="0"/>
                <w:color w:val="000000" w:themeColor="text1"/>
                <w:sz w:val="18"/>
                <w:szCs w:val="18"/>
              </w:rPr>
              <w:sym w:font="Wingdings" w:char="F0E0"/>
            </w:r>
            <w:r w:rsidRPr="0042043C">
              <w:rPr>
                <w:b w:val="0"/>
                <w:color w:val="000000" w:themeColor="text1"/>
                <w:sz w:val="18"/>
                <w:szCs w:val="18"/>
              </w:rPr>
              <w:t xml:space="preserve"> 12 años patente + 3 años CCP. Periodo total de protección 15 años. La protección se extingue en 2018.</w:t>
            </w:r>
          </w:p>
        </w:tc>
      </w:tr>
      <w:tr w:rsidR="00312629" w14:paraId="4A6BB6F3" w14:textId="77777777" w:rsidTr="00312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p w14:paraId="51627D3F" w14:textId="2A55C217" w:rsidR="00312629" w:rsidRPr="0042043C" w:rsidRDefault="00312629" w:rsidP="00312629">
            <w:pPr>
              <w:ind w:left="0"/>
              <w:rPr>
                <w:b w:val="0"/>
                <w:bCs w:val="0"/>
                <w:color w:val="FFFFFF" w:themeColor="background1"/>
                <w:sz w:val="18"/>
                <w:szCs w:val="18"/>
              </w:rPr>
            </w:pPr>
            <w:r w:rsidRPr="0042043C">
              <w:rPr>
                <w:b w:val="0"/>
                <w:bCs w:val="0"/>
                <w:color w:val="000000" w:themeColor="text1"/>
                <w:sz w:val="18"/>
                <w:szCs w:val="18"/>
              </w:rPr>
              <w:t xml:space="preserve">Autorización en la UE = 2005 </w:t>
            </w:r>
            <w:r w:rsidRPr="0042043C">
              <w:rPr>
                <w:b w:val="0"/>
                <w:color w:val="000000" w:themeColor="text1"/>
                <w:sz w:val="18"/>
                <w:szCs w:val="18"/>
              </w:rPr>
              <w:sym w:font="Wingdings" w:char="F0E0"/>
            </w:r>
            <w:r w:rsidRPr="0042043C">
              <w:rPr>
                <w:b w:val="0"/>
                <w:color w:val="000000" w:themeColor="text1"/>
                <w:sz w:val="18"/>
                <w:szCs w:val="18"/>
              </w:rPr>
              <w:t xml:space="preserve"> 10 años patente + 5 años CCP. Periodo total de protección 15 años. La protección se extingue en 2020.</w:t>
            </w:r>
          </w:p>
        </w:tc>
      </w:tr>
      <w:tr w:rsidR="00312629" w14:paraId="07AEC537" w14:textId="77777777" w:rsidTr="00312629">
        <w:tc>
          <w:tcPr>
            <w:cnfStyle w:val="001000000000" w:firstRow="0" w:lastRow="0" w:firstColumn="1" w:lastColumn="0" w:oddVBand="0" w:evenVBand="0" w:oddHBand="0" w:evenHBand="0" w:firstRowFirstColumn="0" w:firstRowLastColumn="0" w:lastRowFirstColumn="0" w:lastRowLastColumn="0"/>
            <w:tcW w:w="8495" w:type="dxa"/>
          </w:tcPr>
          <w:p w14:paraId="215652AF" w14:textId="76BF5607" w:rsidR="00312629" w:rsidRPr="0042043C" w:rsidRDefault="00312629" w:rsidP="00312629">
            <w:pPr>
              <w:ind w:left="0"/>
              <w:rPr>
                <w:b w:val="0"/>
                <w:bCs w:val="0"/>
                <w:color w:val="FFFFFF" w:themeColor="background1"/>
                <w:sz w:val="18"/>
                <w:szCs w:val="18"/>
              </w:rPr>
            </w:pPr>
            <w:r w:rsidRPr="0042043C">
              <w:rPr>
                <w:b w:val="0"/>
                <w:bCs w:val="0"/>
                <w:color w:val="000000" w:themeColor="text1"/>
                <w:sz w:val="18"/>
                <w:szCs w:val="18"/>
              </w:rPr>
              <w:t xml:space="preserve">Autorización en la UE = 2010 </w:t>
            </w:r>
            <w:r w:rsidRPr="0042043C">
              <w:rPr>
                <w:b w:val="0"/>
                <w:color w:val="000000" w:themeColor="text1"/>
                <w:sz w:val="18"/>
                <w:szCs w:val="18"/>
              </w:rPr>
              <w:sym w:font="Wingdings" w:char="F0E0"/>
            </w:r>
            <w:r w:rsidRPr="0042043C">
              <w:rPr>
                <w:b w:val="0"/>
                <w:color w:val="000000" w:themeColor="text1"/>
                <w:sz w:val="18"/>
                <w:szCs w:val="18"/>
              </w:rPr>
              <w:t xml:space="preserve"> 5 años patente + 5 años CCP. Periodo total de protección 10 años. La protección se extingue en 2020.</w:t>
            </w:r>
          </w:p>
        </w:tc>
      </w:tr>
      <w:tr w:rsidR="00312629" w14:paraId="18D60C6B" w14:textId="77777777" w:rsidTr="00312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p w14:paraId="56D086F3" w14:textId="1F976F6A" w:rsidR="00312629" w:rsidRPr="0042043C" w:rsidRDefault="00312629" w:rsidP="00312629">
            <w:pPr>
              <w:ind w:left="0"/>
              <w:rPr>
                <w:b w:val="0"/>
                <w:bCs w:val="0"/>
                <w:color w:val="FFFFFF" w:themeColor="background1"/>
                <w:sz w:val="18"/>
                <w:szCs w:val="18"/>
              </w:rPr>
            </w:pPr>
            <w:r w:rsidRPr="0042043C">
              <w:rPr>
                <w:b w:val="0"/>
                <w:bCs w:val="0"/>
                <w:color w:val="000000" w:themeColor="text1"/>
                <w:sz w:val="18"/>
                <w:szCs w:val="18"/>
              </w:rPr>
              <w:t xml:space="preserve">Autorización en la UE = 2011 </w:t>
            </w:r>
            <w:r w:rsidRPr="0042043C">
              <w:rPr>
                <w:b w:val="0"/>
                <w:color w:val="000000" w:themeColor="text1"/>
                <w:sz w:val="18"/>
                <w:szCs w:val="18"/>
              </w:rPr>
              <w:sym w:font="Wingdings" w:char="F0E0"/>
            </w:r>
            <w:r w:rsidRPr="0042043C">
              <w:rPr>
                <w:b w:val="0"/>
                <w:color w:val="000000" w:themeColor="text1"/>
                <w:sz w:val="18"/>
                <w:szCs w:val="18"/>
              </w:rPr>
              <w:t xml:space="preserve"> 4 años patente + 5 años CCP. Periodo total de protección 9 años. La protección se extingue en 2020.</w:t>
            </w:r>
          </w:p>
        </w:tc>
      </w:tr>
    </w:tbl>
    <w:p w14:paraId="75DCF5A2" w14:textId="77777777" w:rsidR="00312629" w:rsidRDefault="00312629" w:rsidP="00E04044">
      <w:pPr>
        <w:ind w:left="0"/>
        <w:rPr>
          <w:b/>
          <w:bCs/>
          <w:color w:val="FFFFFF" w:themeColor="background1"/>
          <w:lang w:val="es-ES"/>
        </w:rPr>
      </w:pPr>
    </w:p>
    <w:p w14:paraId="5C21722A" w14:textId="24E63162" w:rsidR="00711A1B" w:rsidRDefault="0042043C" w:rsidP="006412F5">
      <w:pPr>
        <w:ind w:left="0" w:firstLine="360"/>
        <w:rPr>
          <w:lang w:val="es-ES"/>
        </w:rPr>
      </w:pPr>
      <w:r>
        <w:rPr>
          <w:lang w:val="es-ES"/>
        </w:rPr>
        <w:t>El R</w:t>
      </w:r>
      <w:r w:rsidR="00711A1B">
        <w:rPr>
          <w:lang w:val="es-ES"/>
        </w:rPr>
        <w:t xml:space="preserve">eglamento del Consejo nº 1901/2006 de </w:t>
      </w:r>
      <w:r>
        <w:rPr>
          <w:lang w:val="es-ES"/>
        </w:rPr>
        <w:t>12 de diciembre de 2006, sobre Medicamentos de Uso Pediátrico, modificó el R</w:t>
      </w:r>
      <w:r w:rsidR="00711A1B">
        <w:rPr>
          <w:lang w:val="es-ES"/>
        </w:rPr>
        <w:t>eglamento 1768/92. Este reglamento establece una extensión de seis meses a los cinco años cuando se cumplan unas determinadas condiciones. El objetivo de este reglamento es incentivar la investigación en me</w:t>
      </w:r>
      <w:r>
        <w:rPr>
          <w:lang w:val="es-ES"/>
        </w:rPr>
        <w:t>dicamentos para uso pediátrico.</w:t>
      </w:r>
    </w:p>
    <w:p w14:paraId="50BE0582" w14:textId="77777777" w:rsidR="0042043C" w:rsidRDefault="0042043C" w:rsidP="00E04044">
      <w:pPr>
        <w:ind w:left="0"/>
        <w:rPr>
          <w:lang w:val="es-ES"/>
        </w:rPr>
      </w:pPr>
    </w:p>
    <w:p w14:paraId="21DA257B" w14:textId="314508FB" w:rsidR="00E04044" w:rsidRDefault="0042043C" w:rsidP="00817CF8">
      <w:pPr>
        <w:ind w:left="0"/>
        <w:rPr>
          <w:lang w:val="es-ES"/>
        </w:rPr>
      </w:pPr>
      <w:r>
        <w:rPr>
          <w:lang w:val="es-ES"/>
        </w:rPr>
        <w:lastRenderedPageBreak/>
        <w:t xml:space="preserve">En Estados Unidos existe un régimen similar que es regulado por la </w:t>
      </w:r>
      <w:r w:rsidRPr="0042043C">
        <w:rPr>
          <w:i/>
          <w:lang w:val="es-ES"/>
        </w:rPr>
        <w:t>“Drug Price Competition and Patent Term Restoration Act”</w:t>
      </w:r>
      <w:r w:rsidRPr="0042043C">
        <w:rPr>
          <w:lang w:val="es-ES"/>
        </w:rPr>
        <w:t xml:space="preserve"> </w:t>
      </w:r>
      <w:r>
        <w:rPr>
          <w:lang w:val="es-ES"/>
        </w:rPr>
        <w:t xml:space="preserve">de </w:t>
      </w:r>
      <w:r w:rsidRPr="0042043C">
        <w:rPr>
          <w:lang w:val="es-ES"/>
        </w:rPr>
        <w:t>1984</w:t>
      </w:r>
      <w:r>
        <w:rPr>
          <w:lang w:val="es-ES"/>
        </w:rPr>
        <w:t xml:space="preserve"> (comúnmente conocida como “</w:t>
      </w:r>
      <w:r w:rsidRPr="0042043C">
        <w:rPr>
          <w:i/>
          <w:lang w:val="es-ES"/>
        </w:rPr>
        <w:t>Hatch-Waxman act</w:t>
      </w:r>
      <w:r>
        <w:rPr>
          <w:lang w:val="es-ES"/>
        </w:rPr>
        <w:t>”).</w:t>
      </w:r>
    </w:p>
    <w:p w14:paraId="22E7CA35" w14:textId="77777777" w:rsidR="006412F5" w:rsidRPr="0042043C" w:rsidRDefault="006412F5" w:rsidP="00817CF8">
      <w:pPr>
        <w:ind w:left="0"/>
        <w:rPr>
          <w:lang w:val="es-ES"/>
        </w:rPr>
      </w:pPr>
    </w:p>
    <w:p w14:paraId="223A85B2" w14:textId="5BE8A880" w:rsidR="00B366EE" w:rsidRPr="00817CF8" w:rsidRDefault="00817CF8" w:rsidP="00817CF8">
      <w:pPr>
        <w:pStyle w:val="Etiquetadefilas"/>
        <w:numPr>
          <w:ilvl w:val="0"/>
          <w:numId w:val="15"/>
        </w:numPr>
        <w:spacing w:before="0"/>
        <w:ind w:left="567" w:hanging="567"/>
        <w:rPr>
          <w:rFonts w:ascii="Arial" w:hAnsi="Arial" w:cs="Arial"/>
          <w:color w:val="FF0000"/>
          <w:szCs w:val="22"/>
        </w:rPr>
      </w:pPr>
      <w:bookmarkStart w:id="47" w:name="_Toc400525389"/>
      <w:r w:rsidRPr="00817CF8">
        <w:rPr>
          <w:rFonts w:ascii="Arial" w:hAnsi="Arial" w:cs="Arial"/>
          <w:color w:val="FF0000"/>
          <w:szCs w:val="22"/>
        </w:rPr>
        <w:t>MEDICAMENTOS GENÉRICOS Y BIOSIMILARES</w:t>
      </w:r>
      <w:bookmarkEnd w:id="47"/>
    </w:p>
    <w:p w14:paraId="4E503890" w14:textId="15ADAAAB" w:rsidR="00817CF8" w:rsidRDefault="00817CF8" w:rsidP="00817CF8">
      <w:pPr>
        <w:ind w:left="0"/>
        <w:rPr>
          <w:rFonts w:cs="Arial"/>
          <w:lang w:val="es-ES"/>
        </w:rPr>
      </w:pPr>
    </w:p>
    <w:p w14:paraId="5FE0A68C" w14:textId="40C2CE3C" w:rsidR="00275CEA" w:rsidRPr="00275CEA" w:rsidRDefault="00275CEA" w:rsidP="00275CEA">
      <w:pPr>
        <w:pStyle w:val="Ttulo2"/>
        <w:rPr>
          <w:lang w:val="es-ES"/>
        </w:rPr>
      </w:pPr>
      <w:bookmarkStart w:id="48" w:name="_Toc400525390"/>
      <w:r w:rsidRPr="00275CEA">
        <w:rPr>
          <w:lang w:val="es-ES"/>
        </w:rPr>
        <w:t>3.1. Medicamentos de origen químico</w:t>
      </w:r>
      <w:r>
        <w:rPr>
          <w:lang w:val="es-ES"/>
        </w:rPr>
        <w:t>.</w:t>
      </w:r>
      <w:bookmarkEnd w:id="48"/>
    </w:p>
    <w:p w14:paraId="7C018ED8" w14:textId="77777777" w:rsidR="00275CEA" w:rsidRDefault="00275CEA" w:rsidP="00817CF8">
      <w:pPr>
        <w:ind w:left="0"/>
        <w:rPr>
          <w:rFonts w:cs="Arial"/>
          <w:lang w:val="es-ES"/>
        </w:rPr>
      </w:pPr>
    </w:p>
    <w:p w14:paraId="4DBE396B" w14:textId="48623E6C" w:rsidR="00BE7BB7" w:rsidRDefault="00BE7BB7" w:rsidP="00602992">
      <w:pPr>
        <w:ind w:left="0" w:firstLine="360"/>
        <w:rPr>
          <w:rFonts w:cs="Arial"/>
          <w:lang w:val="es-ES"/>
        </w:rPr>
      </w:pPr>
      <w:r>
        <w:rPr>
          <w:rFonts w:cs="Arial"/>
          <w:lang w:val="es-ES"/>
        </w:rPr>
        <w:t xml:space="preserve">Antes de continuar avanzando en el asunto de las patentes es necesario hacer una breve parada para recordar qué son los medicamentos genéricos y los medicamentos biosimilares. Consideramos que es importante puesto </w:t>
      </w:r>
      <w:r w:rsidR="00272D6B">
        <w:rPr>
          <w:rFonts w:cs="Arial"/>
          <w:lang w:val="es-ES"/>
        </w:rPr>
        <w:t>que precisamente la entrada en el mercado de éstos, antes del transcurso de tiempo legalmente establecido, es lo que se trata de impedir con la protección otorgada a las compañías farmacéuticas innovadoras</w:t>
      </w:r>
      <w:r w:rsidR="00275CEA">
        <w:rPr>
          <w:rFonts w:cs="Arial"/>
          <w:lang w:val="es-ES"/>
        </w:rPr>
        <w:t xml:space="preserve"> y la comercialización de los medicamentos de marca</w:t>
      </w:r>
      <w:r w:rsidR="00272D6B">
        <w:rPr>
          <w:rFonts w:cs="Arial"/>
          <w:lang w:val="es-ES"/>
        </w:rPr>
        <w:t>.</w:t>
      </w:r>
    </w:p>
    <w:p w14:paraId="1241A864" w14:textId="77777777" w:rsidR="00272D6B" w:rsidRDefault="00272D6B" w:rsidP="00817CF8">
      <w:pPr>
        <w:ind w:left="0"/>
        <w:rPr>
          <w:rFonts w:cs="Arial"/>
          <w:lang w:val="es-ES"/>
        </w:rPr>
      </w:pPr>
    </w:p>
    <w:p w14:paraId="75128935" w14:textId="05A6C677" w:rsidR="00150CA5" w:rsidRDefault="00150CA5" w:rsidP="00602992">
      <w:pPr>
        <w:ind w:left="0" w:firstLine="360"/>
        <w:rPr>
          <w:rFonts w:cs="Arial"/>
          <w:lang w:val="es-ES"/>
        </w:rPr>
      </w:pPr>
      <w:r>
        <w:rPr>
          <w:rFonts w:cs="Arial"/>
          <w:lang w:val="es-ES"/>
        </w:rPr>
        <w:t>En primer lugar habría que diferenciar que es un medicamento de origen químico y uno de origen biológi</w:t>
      </w:r>
      <w:r w:rsidR="009E1422">
        <w:rPr>
          <w:rFonts w:cs="Arial"/>
          <w:lang w:val="es-ES"/>
        </w:rPr>
        <w:t>co. Esta diferencia es esencial puesto que de los primeros se derivan los genéricos y de los segundos los biosimilares.</w:t>
      </w:r>
    </w:p>
    <w:p w14:paraId="3E4F5CC5" w14:textId="77777777" w:rsidR="009E1422" w:rsidRDefault="009E1422" w:rsidP="00817CF8">
      <w:pPr>
        <w:ind w:left="0"/>
        <w:rPr>
          <w:rFonts w:cs="Arial"/>
          <w:lang w:val="es-ES"/>
        </w:rPr>
      </w:pPr>
    </w:p>
    <w:p w14:paraId="75476407" w14:textId="50EC923F" w:rsidR="009E1422" w:rsidRPr="009E1422" w:rsidRDefault="009E1422" w:rsidP="00602992">
      <w:pPr>
        <w:ind w:left="0" w:firstLine="360"/>
        <w:rPr>
          <w:lang w:val="es-ES"/>
        </w:rPr>
      </w:pPr>
      <w:r w:rsidRPr="009E1422">
        <w:rPr>
          <w:lang w:val="es-ES"/>
        </w:rPr>
        <w:t>Los medicamentos químicos</w:t>
      </w:r>
      <w:r w:rsidRPr="009E1422">
        <w:rPr>
          <w:b/>
          <w:lang w:val="es-ES"/>
        </w:rPr>
        <w:t xml:space="preserve"> </w:t>
      </w:r>
      <w:r w:rsidRPr="009E1422">
        <w:rPr>
          <w:lang w:val="es-ES"/>
        </w:rPr>
        <w:t xml:space="preserve">son aquellos que son fabricados mediante una síntesis química. Lo trataremos de explicar de una manera </w:t>
      </w:r>
      <w:r w:rsidR="00275CEA">
        <w:rPr>
          <w:lang w:val="es-ES"/>
        </w:rPr>
        <w:t xml:space="preserve">muy </w:t>
      </w:r>
      <w:r w:rsidRPr="009E1422">
        <w:rPr>
          <w:lang w:val="es-ES"/>
        </w:rPr>
        <w:t>simplificada. Esto quiere decir que para fabricar un medicamento de este tipo</w:t>
      </w:r>
      <w:r w:rsidR="00275CEA">
        <w:rPr>
          <w:lang w:val="es-ES"/>
        </w:rPr>
        <w:t xml:space="preserve"> basta con mezclar los compuestos químicos A y</w:t>
      </w:r>
      <w:r w:rsidRPr="009E1422">
        <w:rPr>
          <w:lang w:val="es-ES"/>
        </w:rPr>
        <w:t xml:space="preserve"> B y obtendremos siempre C. Lo componente utilizados son materiales inertes obtenidos de la naturaleza y a los que si se les aplica el procedimiento adecuado se obtienen unos resultados invariables. A + B tendrá como resultado C en el 99,9% de los casos.</w:t>
      </w:r>
    </w:p>
    <w:p w14:paraId="461FC2C5" w14:textId="77777777" w:rsidR="009E1422" w:rsidRDefault="009E1422" w:rsidP="009E1422">
      <w:pPr>
        <w:ind w:left="0"/>
        <w:rPr>
          <w:lang w:val="es-ES"/>
        </w:rPr>
      </w:pPr>
    </w:p>
    <w:p w14:paraId="33594A6B" w14:textId="324958CF" w:rsidR="009E1422" w:rsidRPr="009E1422" w:rsidRDefault="00795BF2" w:rsidP="00602992">
      <w:pPr>
        <w:ind w:left="0" w:firstLine="360"/>
        <w:rPr>
          <w:lang w:val="es-ES"/>
        </w:rPr>
      </w:pPr>
      <w:r>
        <w:rPr>
          <w:noProof/>
          <w:lang w:val="es-ES" w:eastAsia="es-ES"/>
        </w:rPr>
        <mc:AlternateContent>
          <mc:Choice Requires="wps">
            <w:drawing>
              <wp:anchor distT="0" distB="0" distL="114300" distR="114300" simplePos="0" relativeHeight="251651584" behindDoc="1" locked="0" layoutInCell="1" allowOverlap="1" wp14:anchorId="42E0CF2C" wp14:editId="4334BC5E">
                <wp:simplePos x="0" y="0"/>
                <wp:positionH relativeFrom="column">
                  <wp:posOffset>-4445</wp:posOffset>
                </wp:positionH>
                <wp:positionV relativeFrom="paragraph">
                  <wp:posOffset>3279140</wp:posOffset>
                </wp:positionV>
                <wp:extent cx="5400675" cy="635"/>
                <wp:effectExtent l="0" t="0" r="0" b="0"/>
                <wp:wrapTight wrapText="bothSides">
                  <wp:wrapPolygon edited="0">
                    <wp:start x="0" y="0"/>
                    <wp:lineTo x="0" y="21600"/>
                    <wp:lineTo x="21600" y="21600"/>
                    <wp:lineTo x="21600" y="0"/>
                  </wp:wrapPolygon>
                </wp:wrapTight>
                <wp:docPr id="26" name="Cuadro de texto 26"/>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a:effectLst/>
                      </wps:spPr>
                      <wps:txbx>
                        <w:txbxContent>
                          <w:p w14:paraId="7EC2681F" w14:textId="579C6371" w:rsidR="00A5627F" w:rsidRPr="00795BF2" w:rsidRDefault="00A5627F" w:rsidP="00795BF2">
                            <w:pPr>
                              <w:pStyle w:val="Descripcin"/>
                              <w:jc w:val="center"/>
                              <w:rPr>
                                <w:lang w:val="es-ES"/>
                              </w:rPr>
                            </w:pPr>
                            <w:bookmarkStart w:id="49" w:name="_Toc400008711"/>
                            <w:bookmarkStart w:id="50" w:name="_Toc400525283"/>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8</w:t>
                            </w:r>
                            <w:r>
                              <w:fldChar w:fldCharType="end"/>
                            </w:r>
                            <w:r w:rsidRPr="00795BF2">
                              <w:rPr>
                                <w:lang w:val="es-ES"/>
                              </w:rPr>
                              <w:t xml:space="preserve"> - Ejemplos de moléculas de medicamentos químicos.</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E0CF2C" id="Cuadro de texto 26" o:spid="_x0000_s1035" type="#_x0000_t202" style="position:absolute;left:0;text-align:left;margin-left:-.35pt;margin-top:258.2pt;width:425.2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" stroked="f">
                <v:textbox style="mso-fit-shape-to-text:t" inset="0,0,0,0">
                  <w:txbxContent>
                    <w:p w14:paraId="7EC2681F" w14:textId="579C6371" w:rsidR="00A5627F" w:rsidRPr="00795BF2" w:rsidRDefault="00A5627F" w:rsidP="00795BF2">
                      <w:pPr>
                        <w:pStyle w:val="Descripcin"/>
                        <w:jc w:val="center"/>
                        <w:rPr>
                          <w:lang w:val="es-ES"/>
                        </w:rPr>
                      </w:pPr>
                      <w:bookmarkStart w:id="51" w:name="_Toc400008711"/>
                      <w:bookmarkStart w:id="52" w:name="_Toc400525283"/>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8</w:t>
                      </w:r>
                      <w:r>
                        <w:fldChar w:fldCharType="end"/>
                      </w:r>
                      <w:r w:rsidRPr="00795BF2">
                        <w:rPr>
                          <w:lang w:val="es-ES"/>
                        </w:rPr>
                        <w:t xml:space="preserve"> - Ejemplos de moléculas de medicamentos químicos.</w:t>
                      </w:r>
                      <w:bookmarkEnd w:id="51"/>
                      <w:bookmarkEnd w:id="52"/>
                    </w:p>
                  </w:txbxContent>
                </v:textbox>
                <w10:wrap type="tight"/>
              </v:shape>
            </w:pict>
          </mc:Fallback>
        </mc:AlternateContent>
      </w:r>
      <w:r w:rsidR="009E1422">
        <w:rPr>
          <w:noProof/>
          <w:lang w:val="es-ES" w:eastAsia="es-ES"/>
        </w:rPr>
        <w:drawing>
          <wp:anchor distT="0" distB="0" distL="114300" distR="114300" simplePos="0" relativeHeight="251623936" behindDoc="1" locked="0" layoutInCell="1" allowOverlap="1" wp14:anchorId="22384B03" wp14:editId="4C770677">
            <wp:simplePos x="0" y="0"/>
            <wp:positionH relativeFrom="margin">
              <wp:align>center</wp:align>
            </wp:positionH>
            <wp:positionV relativeFrom="paragraph">
              <wp:posOffset>617336</wp:posOffset>
            </wp:positionV>
            <wp:extent cx="5400675" cy="2604770"/>
            <wp:effectExtent l="19050" t="19050" r="28575" b="24130"/>
            <wp:wrapTight wrapText="bothSides">
              <wp:wrapPolygon edited="0">
                <wp:start x="-76" y="-158"/>
                <wp:lineTo x="-76" y="21642"/>
                <wp:lineTo x="21638" y="21642"/>
                <wp:lineTo x="21638" y="-158"/>
                <wp:lineTo x="-76" y="-158"/>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74).png"/>
                    <pic:cNvPicPr/>
                  </pic:nvPicPr>
                  <pic:blipFill>
                    <a:blip r:embed="rId19">
                      <a:extLst>
                        <a:ext uri="{28A0092B-C50C-407E-A947-70E740481C1C}">
                          <a14:useLocalDpi xmlns:a14="http://schemas.microsoft.com/office/drawing/2010/main" val="0"/>
                        </a:ext>
                      </a:extLst>
                    </a:blip>
                    <a:stretch>
                      <a:fillRect/>
                    </a:stretch>
                  </pic:blipFill>
                  <pic:spPr>
                    <a:xfrm>
                      <a:off x="0" y="0"/>
                      <a:ext cx="5400675" cy="2604770"/>
                    </a:xfrm>
                    <a:prstGeom prst="rect">
                      <a:avLst/>
                    </a:prstGeom>
                    <a:ln w="19050">
                      <a:solidFill>
                        <a:schemeClr val="accent1"/>
                      </a:solidFill>
                    </a:ln>
                  </pic:spPr>
                </pic:pic>
              </a:graphicData>
            </a:graphic>
          </wp:anchor>
        </w:drawing>
      </w:r>
      <w:r w:rsidR="009E1422" w:rsidRPr="009E1422">
        <w:rPr>
          <w:lang w:val="es-ES"/>
        </w:rPr>
        <w:t xml:space="preserve">A modo de ejemplo y para que el lector se pueda hacer una idea, son medicamentos de síntesis química los conocidos Ibuprofeno, Paracetamol, Ácido Acetilsalicílico o Diazepam (Valium).                   </w:t>
      </w:r>
    </w:p>
    <w:p w14:paraId="15966593" w14:textId="3A4E1C4E" w:rsidR="009E1422" w:rsidRPr="009E1422" w:rsidRDefault="009E1422" w:rsidP="009E1422">
      <w:pPr>
        <w:ind w:left="0"/>
        <w:rPr>
          <w:rFonts w:cs="Arial"/>
          <w:lang w:val="es-ES"/>
        </w:rPr>
      </w:pPr>
      <w:r w:rsidRPr="009E1422">
        <w:rPr>
          <w:rFonts w:cs="Arial"/>
          <w:lang w:val="es-ES"/>
        </w:rPr>
        <w:t>Las características básicas de este tipo de fármacos</w:t>
      </w:r>
      <w:r>
        <w:rPr>
          <w:rFonts w:cs="Arial"/>
          <w:lang w:val="es-ES"/>
        </w:rPr>
        <w:t xml:space="preserve"> son</w:t>
      </w:r>
      <w:r w:rsidRPr="009E1422">
        <w:rPr>
          <w:rFonts w:cs="Arial"/>
          <w:lang w:val="es-ES"/>
        </w:rPr>
        <w:t>:</w:t>
      </w:r>
    </w:p>
    <w:p w14:paraId="45C36715" w14:textId="77777777" w:rsidR="009E1422" w:rsidRPr="009E1422" w:rsidRDefault="009E1422" w:rsidP="009E1422">
      <w:pPr>
        <w:ind w:left="567" w:hanging="567"/>
        <w:rPr>
          <w:rFonts w:cs="Arial"/>
          <w:lang w:val="es-ES"/>
        </w:rPr>
      </w:pPr>
    </w:p>
    <w:p w14:paraId="745670AF" w14:textId="569B3B91" w:rsidR="009E1422" w:rsidRPr="009E1422" w:rsidRDefault="009E1422" w:rsidP="009E1422">
      <w:pPr>
        <w:pStyle w:val="Prrafodelista"/>
        <w:numPr>
          <w:ilvl w:val="0"/>
          <w:numId w:val="29"/>
        </w:numPr>
        <w:ind w:left="426" w:hanging="426"/>
        <w:rPr>
          <w:rFonts w:cs="Arial"/>
          <w:lang w:val="es-ES"/>
        </w:rPr>
      </w:pPr>
      <w:r w:rsidRPr="009E1422">
        <w:rPr>
          <w:rFonts w:cs="Arial"/>
          <w:lang w:val="es-ES"/>
        </w:rPr>
        <w:t>Tienen una estructura  y en comparación con los biotecnológicos son moléc</w:t>
      </w:r>
      <w:r w:rsidR="00275CEA">
        <w:rPr>
          <w:rFonts w:cs="Arial"/>
          <w:lang w:val="es-ES"/>
        </w:rPr>
        <w:t xml:space="preserve">ulas simples </w:t>
      </w:r>
      <w:r w:rsidRPr="009E1422">
        <w:rPr>
          <w:rFonts w:cs="Arial"/>
          <w:lang w:val="es-ES"/>
        </w:rPr>
        <w:t xml:space="preserve"> y con un peso molecular muy pequeño.</w:t>
      </w:r>
    </w:p>
    <w:p w14:paraId="332DE488" w14:textId="77777777" w:rsidR="009E1422" w:rsidRDefault="009E1422" w:rsidP="009E1422">
      <w:pPr>
        <w:pStyle w:val="Prrafodelista"/>
        <w:numPr>
          <w:ilvl w:val="0"/>
          <w:numId w:val="29"/>
        </w:numPr>
        <w:ind w:left="426" w:hanging="426"/>
        <w:rPr>
          <w:rFonts w:cs="Arial"/>
          <w:lang w:val="es-ES"/>
        </w:rPr>
      </w:pPr>
      <w:r w:rsidRPr="009E1422">
        <w:rPr>
          <w:rFonts w:cs="Arial"/>
          <w:lang w:val="es-ES"/>
        </w:rPr>
        <w:lastRenderedPageBreak/>
        <w:t>Con los conocimientos técnicos con los que se cuentan en la actualidad su fabricación es sencilla y en comparación con los medicamentos biológicos mucho más barata.</w:t>
      </w:r>
    </w:p>
    <w:p w14:paraId="01C5A740" w14:textId="3AD97A3D" w:rsidR="00A83135" w:rsidRDefault="009E1422" w:rsidP="009E1422">
      <w:pPr>
        <w:pStyle w:val="Prrafodelista"/>
        <w:numPr>
          <w:ilvl w:val="0"/>
          <w:numId w:val="29"/>
        </w:numPr>
        <w:ind w:left="426" w:hanging="426"/>
        <w:rPr>
          <w:rFonts w:cs="Arial"/>
          <w:lang w:val="es-ES"/>
        </w:rPr>
      </w:pPr>
      <w:r w:rsidRPr="009E1422">
        <w:rPr>
          <w:rFonts w:cs="Arial"/>
          <w:lang w:val="es-ES"/>
        </w:rPr>
        <w:t>La estructura resultante es rígida y estable. Por tanto la continuidad de los resultados óptimos de fabricación es extremadamente fiable.</w:t>
      </w:r>
    </w:p>
    <w:p w14:paraId="3A431716" w14:textId="77777777" w:rsidR="009E1422" w:rsidRDefault="009E1422" w:rsidP="009E1422">
      <w:pPr>
        <w:ind w:left="0"/>
        <w:rPr>
          <w:rFonts w:cs="Arial"/>
          <w:lang w:val="es-ES"/>
        </w:rPr>
      </w:pPr>
    </w:p>
    <w:p w14:paraId="5F23BD5A" w14:textId="77777777" w:rsidR="00275CEA" w:rsidRDefault="00275CEA" w:rsidP="00275CEA">
      <w:pPr>
        <w:pStyle w:val="Ttulo2"/>
        <w:rPr>
          <w:lang w:val="es-ES"/>
        </w:rPr>
      </w:pPr>
      <w:bookmarkStart w:id="53" w:name="_Toc400525391"/>
      <w:r>
        <w:rPr>
          <w:lang w:val="es-ES"/>
        </w:rPr>
        <w:t>3.2. Medicamentos de origen biológico.</w:t>
      </w:r>
      <w:bookmarkEnd w:id="53"/>
    </w:p>
    <w:p w14:paraId="7961AAA6" w14:textId="77777777" w:rsidR="00275CEA" w:rsidRDefault="00275CEA" w:rsidP="009E1422">
      <w:pPr>
        <w:ind w:left="0"/>
        <w:rPr>
          <w:lang w:val="es-ES"/>
        </w:rPr>
      </w:pPr>
    </w:p>
    <w:p w14:paraId="7B0D92BE" w14:textId="79241C61" w:rsidR="009E1422" w:rsidRDefault="009E1422" w:rsidP="00602992">
      <w:pPr>
        <w:ind w:left="0" w:firstLine="360"/>
        <w:rPr>
          <w:lang w:val="es-ES"/>
        </w:rPr>
      </w:pPr>
      <w:r>
        <w:rPr>
          <w:lang w:val="es-ES"/>
        </w:rPr>
        <w:t xml:space="preserve">Por otro lado tenemos los medicamentos biológicos o biotecnológicos. </w:t>
      </w:r>
      <w:r w:rsidRPr="009E1422">
        <w:rPr>
          <w:lang w:val="es-ES"/>
        </w:rPr>
        <w:t xml:space="preserve">Para la  obtención de </w:t>
      </w:r>
      <w:r>
        <w:rPr>
          <w:lang w:val="es-ES"/>
        </w:rPr>
        <w:t xml:space="preserve">este tipo de </w:t>
      </w:r>
      <w:r w:rsidRPr="009E1422">
        <w:rPr>
          <w:lang w:val="es-ES"/>
        </w:rPr>
        <w:t>fármacos se suele emplear la tecnología del ADN recombinante, generalmente incorporando el material genético a organismos vivos (bacterias, hongos, etc.), lo que permitirá que estos organismos sinteticen un producto terapéutico concreto</w:t>
      </w:r>
      <w:r>
        <w:rPr>
          <w:lang w:val="es-ES"/>
        </w:rPr>
        <w:t>.</w:t>
      </w:r>
    </w:p>
    <w:p w14:paraId="3FAB8CCF" w14:textId="77777777" w:rsidR="009E1422" w:rsidRPr="009E1422" w:rsidRDefault="009E1422" w:rsidP="009E1422">
      <w:pPr>
        <w:rPr>
          <w:lang w:val="es-ES"/>
        </w:rPr>
      </w:pPr>
    </w:p>
    <w:p w14:paraId="52C37F2E" w14:textId="77777777" w:rsidR="009E1422" w:rsidRDefault="009E1422" w:rsidP="00602992">
      <w:pPr>
        <w:ind w:left="0" w:firstLine="360"/>
        <w:rPr>
          <w:lang w:val="es-ES"/>
        </w:rPr>
      </w:pPr>
      <w:r w:rsidRPr="009E1422">
        <w:rPr>
          <w:lang w:val="es-ES"/>
        </w:rPr>
        <w:t>Se calcula que, en la actualidad, los fármacos biotecnológicos suponen alrededor del 20% del total de medicamentos que alcanzan el mercado y el 50% de los nuevos fármacos en desarrollo. Se han aprobado por las autoridades competentes cerca de un centenar de principios activos, de los cuales sólo una treintena pueden ser prescritos mediante receta médica para su autoadministración por los pacientes y, por tanto, fuera del ámbito hospitalario.</w:t>
      </w:r>
    </w:p>
    <w:p w14:paraId="4F58D55E" w14:textId="77777777" w:rsidR="009E1422" w:rsidRPr="009E1422" w:rsidRDefault="009E1422" w:rsidP="009E1422">
      <w:pPr>
        <w:rPr>
          <w:lang w:val="es-ES"/>
        </w:rPr>
      </w:pPr>
    </w:p>
    <w:p w14:paraId="30F2E0CD" w14:textId="60D24EA5" w:rsidR="009E1422" w:rsidRDefault="00795BF2" w:rsidP="00602992">
      <w:pPr>
        <w:ind w:left="0" w:firstLine="360"/>
        <w:rPr>
          <w:lang w:val="es-ES"/>
        </w:rPr>
      </w:pPr>
      <w:r>
        <w:rPr>
          <w:noProof/>
          <w:lang w:val="es-ES" w:eastAsia="es-ES"/>
        </w:rPr>
        <mc:AlternateContent>
          <mc:Choice Requires="wps">
            <w:drawing>
              <wp:anchor distT="0" distB="0" distL="114300" distR="114300" simplePos="0" relativeHeight="251655680" behindDoc="1" locked="0" layoutInCell="1" allowOverlap="1" wp14:anchorId="4EB80ABA" wp14:editId="0FC33720">
                <wp:simplePos x="0" y="0"/>
                <wp:positionH relativeFrom="margin">
                  <wp:align>left</wp:align>
                </wp:positionH>
                <wp:positionV relativeFrom="paragraph">
                  <wp:posOffset>1780655</wp:posOffset>
                </wp:positionV>
                <wp:extent cx="2258060" cy="635"/>
                <wp:effectExtent l="0" t="0" r="8890" b="5715"/>
                <wp:wrapTight wrapText="bothSides">
                  <wp:wrapPolygon edited="0">
                    <wp:start x="0" y="0"/>
                    <wp:lineTo x="0" y="20870"/>
                    <wp:lineTo x="21503" y="20870"/>
                    <wp:lineTo x="21503" y="0"/>
                    <wp:lineTo x="0" y="0"/>
                  </wp:wrapPolygon>
                </wp:wrapTight>
                <wp:docPr id="28" name="Cuadro de texto 28"/>
                <wp:cNvGraphicFramePr/>
                <a:graphic xmlns:a="http://schemas.openxmlformats.org/drawingml/2006/main">
                  <a:graphicData uri="http://schemas.microsoft.com/office/word/2010/wordprocessingShape">
                    <wps:wsp>
                      <wps:cNvSpPr txBox="1"/>
                      <wps:spPr>
                        <a:xfrm>
                          <a:off x="0" y="0"/>
                          <a:ext cx="2258290" cy="635"/>
                        </a:xfrm>
                        <a:prstGeom prst="rect">
                          <a:avLst/>
                        </a:prstGeom>
                        <a:solidFill>
                          <a:prstClr val="white"/>
                        </a:solidFill>
                        <a:ln>
                          <a:noFill/>
                        </a:ln>
                        <a:effectLst/>
                      </wps:spPr>
                      <wps:txbx>
                        <w:txbxContent>
                          <w:p w14:paraId="1E38E580" w14:textId="77777777" w:rsidR="00A5627F" w:rsidRDefault="00A5627F" w:rsidP="00795BF2">
                            <w:pPr>
                              <w:pStyle w:val="Descripcin"/>
                              <w:jc w:val="center"/>
                              <w:rPr>
                                <w:lang w:val="es-ES"/>
                              </w:rPr>
                            </w:pPr>
                            <w:bookmarkStart w:id="54" w:name="_Toc400008712"/>
                            <w:bookmarkStart w:id="55" w:name="_Toc400525284"/>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9</w:t>
                            </w:r>
                            <w:r>
                              <w:fldChar w:fldCharType="end"/>
                            </w:r>
                            <w:r w:rsidRPr="00795BF2">
                              <w:rPr>
                                <w:lang w:val="es-ES"/>
                              </w:rPr>
                              <w:t xml:space="preserve"> - </w:t>
                            </w:r>
                            <w:r w:rsidRPr="009E1422">
                              <w:rPr>
                                <w:lang w:val="es-ES"/>
                              </w:rPr>
                              <w:t>Estru</w:t>
                            </w:r>
                            <w:r>
                              <w:rPr>
                                <w:lang w:val="es-ES"/>
                              </w:rPr>
                              <w:t>ctura Molecular del Trastuzumab</w:t>
                            </w:r>
                            <w:bookmarkEnd w:id="54"/>
                            <w:bookmarkEnd w:id="55"/>
                          </w:p>
                          <w:p w14:paraId="601FF5B7" w14:textId="561DC999" w:rsidR="00A5627F" w:rsidRPr="00795BF2" w:rsidRDefault="00A5627F" w:rsidP="00795BF2">
                            <w:pPr>
                              <w:pStyle w:val="Descripcin"/>
                              <w:ind w:left="0"/>
                              <w:jc w:val="center"/>
                              <w:rPr>
                                <w:lang w:val="es-ES"/>
                              </w:rPr>
                            </w:pPr>
                            <w:r>
                              <w:rPr>
                                <w:lang w:val="es-ES"/>
                              </w:rPr>
                              <w:t xml:space="preserve">Peso Molecular - 145.531,5 </w:t>
                            </w:r>
                            <w:r w:rsidRPr="009E1422">
                              <w:rPr>
                                <w:lang w:val="es-ES"/>
                              </w:rPr>
                              <w:t>g/mol</w:t>
                            </w:r>
                            <w:r>
                              <w:rPr>
                                <w:lang w:val="es-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B80ABA" id="Cuadro de texto 28" o:spid="_x0000_s1036" type="#_x0000_t202" style="position:absolute;left:0;text-align:left;margin-left:0;margin-top:140.2pt;width:177.8pt;height:.05pt;z-index:-251660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" stroked="f">
                <v:textbox style="mso-fit-shape-to-text:t" inset="0,0,0,0">
                  <w:txbxContent>
                    <w:p w14:paraId="1E38E580" w14:textId="77777777" w:rsidR="00A5627F" w:rsidRDefault="00A5627F" w:rsidP="00795BF2">
                      <w:pPr>
                        <w:pStyle w:val="Descripcin"/>
                        <w:jc w:val="center"/>
                        <w:rPr>
                          <w:lang w:val="es-ES"/>
                        </w:rPr>
                      </w:pPr>
                      <w:bookmarkStart w:id="56" w:name="_Toc400008712"/>
                      <w:bookmarkStart w:id="57" w:name="_Toc400525284"/>
                      <w:r w:rsidRPr="00795BF2">
                        <w:rPr>
                          <w:lang w:val="es-ES"/>
                        </w:rPr>
                        <w:t xml:space="preserve">Ilustración </w:t>
                      </w:r>
                      <w:r>
                        <w:fldChar w:fldCharType="begin"/>
                      </w:r>
                      <w:r w:rsidRPr="00795BF2">
                        <w:rPr>
                          <w:lang w:val="es-ES"/>
                        </w:rPr>
                        <w:instrText xml:space="preserve"> SEQ Ilustración \* ARABIC </w:instrText>
                      </w:r>
                      <w:r>
                        <w:fldChar w:fldCharType="separate"/>
                      </w:r>
                      <w:r w:rsidR="0099684C">
                        <w:rPr>
                          <w:noProof/>
                          <w:lang w:val="es-ES"/>
                        </w:rPr>
                        <w:t>9</w:t>
                      </w:r>
                      <w:r>
                        <w:fldChar w:fldCharType="end"/>
                      </w:r>
                      <w:r w:rsidRPr="00795BF2">
                        <w:rPr>
                          <w:lang w:val="es-ES"/>
                        </w:rPr>
                        <w:t xml:space="preserve"> - </w:t>
                      </w:r>
                      <w:r w:rsidRPr="009E1422">
                        <w:rPr>
                          <w:lang w:val="es-ES"/>
                        </w:rPr>
                        <w:t>Estru</w:t>
                      </w:r>
                      <w:r>
                        <w:rPr>
                          <w:lang w:val="es-ES"/>
                        </w:rPr>
                        <w:t>ctura Molecular del Trastuzumab</w:t>
                      </w:r>
                      <w:bookmarkEnd w:id="56"/>
                      <w:bookmarkEnd w:id="57"/>
                    </w:p>
                    <w:p w14:paraId="601FF5B7" w14:textId="561DC999" w:rsidR="00A5627F" w:rsidRPr="00795BF2" w:rsidRDefault="00A5627F" w:rsidP="00795BF2">
                      <w:pPr>
                        <w:pStyle w:val="Descripcin"/>
                        <w:ind w:left="0"/>
                        <w:jc w:val="center"/>
                        <w:rPr>
                          <w:lang w:val="es-ES"/>
                        </w:rPr>
                      </w:pPr>
                      <w:r>
                        <w:rPr>
                          <w:lang w:val="es-ES"/>
                        </w:rPr>
                        <w:t xml:space="preserve">Peso Molecular - 145.531,5 </w:t>
                      </w:r>
                      <w:r w:rsidRPr="009E1422">
                        <w:rPr>
                          <w:lang w:val="es-ES"/>
                        </w:rPr>
                        <w:t>g/mol</w:t>
                      </w:r>
                      <w:r>
                        <w:rPr>
                          <w:lang w:val="es-ES"/>
                        </w:rPr>
                        <w:t>.</w:t>
                      </w:r>
                    </w:p>
                  </w:txbxContent>
                </v:textbox>
                <w10:wrap type="tight" anchorx="margin"/>
              </v:shape>
            </w:pict>
          </mc:Fallback>
        </mc:AlternateContent>
      </w:r>
      <w:r>
        <w:rPr>
          <w:rFonts w:cs="Arial"/>
          <w:noProof/>
          <w:color w:val="666666"/>
          <w:sz w:val="23"/>
          <w:szCs w:val="23"/>
          <w:lang w:val="es-ES" w:eastAsia="es-ES"/>
        </w:rPr>
        <w:drawing>
          <wp:anchor distT="0" distB="0" distL="114300" distR="114300" simplePos="0" relativeHeight="251628032" behindDoc="1" locked="0" layoutInCell="1" allowOverlap="1" wp14:anchorId="7D7C7F6E" wp14:editId="7F200AE5">
            <wp:simplePos x="0" y="0"/>
            <wp:positionH relativeFrom="margin">
              <wp:align>left</wp:align>
            </wp:positionH>
            <wp:positionV relativeFrom="paragraph">
              <wp:posOffset>6350</wp:posOffset>
            </wp:positionV>
            <wp:extent cx="2254885" cy="1710690"/>
            <wp:effectExtent l="19050" t="19050" r="12065" b="22860"/>
            <wp:wrapTight wrapText="bothSides">
              <wp:wrapPolygon edited="0">
                <wp:start x="-182" y="-241"/>
                <wp:lineTo x="-182" y="21648"/>
                <wp:lineTo x="21533" y="21648"/>
                <wp:lineTo x="21533" y="-241"/>
                <wp:lineTo x="-182" y="-241"/>
              </wp:wrapPolygon>
            </wp:wrapTight>
            <wp:docPr id="23" name="Imagen 23" descr="Trastu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stuzumab"/>
                    <pic:cNvPicPr>
                      <a:picLocks noChangeAspect="1" noChangeArrowheads="1"/>
                    </pic:cNvPicPr>
                  </pic:nvPicPr>
                  <pic:blipFill rotWithShape="1">
                    <a:blip r:embed="rId20">
                      <a:extLst>
                        <a:ext uri="{28A0092B-C50C-407E-A947-70E740481C1C}">
                          <a14:useLocalDpi xmlns:a14="http://schemas.microsoft.com/office/drawing/2010/main" val="0"/>
                        </a:ext>
                      </a:extLst>
                    </a:blip>
                    <a:srcRect t="10211" b="13910"/>
                    <a:stretch/>
                  </pic:blipFill>
                  <pic:spPr bwMode="auto">
                    <a:xfrm>
                      <a:off x="0" y="0"/>
                      <a:ext cx="2270092" cy="1722133"/>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422" w:rsidRPr="009E1422">
        <w:rPr>
          <w:lang w:val="es-ES"/>
        </w:rPr>
        <w:t>La calidad de los productos biológicos está extremadamente condicionada por el proceso de producción y fabricación elegido. Pequeños cambios en el proceso pueden afectar de forma importante la calidad del producto, de ahí que, el desarrollo del proceso de fabricación sea de suma importancia en este tipo de productos. Parte fundamental en el proceso es la de  mantener condiciones de asepsia durante el procedimiento de fabricaci</w:t>
      </w:r>
      <w:r w:rsidR="009E1422">
        <w:rPr>
          <w:lang w:val="es-ES"/>
        </w:rPr>
        <w:t xml:space="preserve">ón, ya que en la mayoría de los </w:t>
      </w:r>
      <w:r w:rsidR="009E1422" w:rsidRPr="009E1422">
        <w:rPr>
          <w:lang w:val="es-ES"/>
        </w:rPr>
        <w:t xml:space="preserve">casos no es posible someter los productos a procesos de esterilización. Además la estabilidad de la sustancia activa es otro factor de riego puesto que la formulación y las condiciones de fabricación y almacenamiento influyen significativamente en la degradación de la misma. </w:t>
      </w:r>
    </w:p>
    <w:p w14:paraId="1DFE4992" w14:textId="77777777" w:rsidR="009E1422" w:rsidRPr="009E1422" w:rsidRDefault="009E1422" w:rsidP="009E1422">
      <w:pPr>
        <w:rPr>
          <w:lang w:val="es-ES"/>
        </w:rPr>
      </w:pPr>
    </w:p>
    <w:p w14:paraId="70A6F12F" w14:textId="77777777" w:rsidR="009E1422" w:rsidRPr="009E1422" w:rsidRDefault="009E1422" w:rsidP="009E1422">
      <w:pPr>
        <w:ind w:left="0"/>
        <w:rPr>
          <w:lang w:val="es-ES"/>
        </w:rPr>
      </w:pPr>
      <w:r w:rsidRPr="009E1422">
        <w:rPr>
          <w:lang w:val="es-ES"/>
        </w:rPr>
        <w:t>Por tanto, los fármacos biotecnológicos tienen las siguientes características:</w:t>
      </w:r>
    </w:p>
    <w:p w14:paraId="4F7F9AAC" w14:textId="77777777" w:rsidR="009E1422" w:rsidRPr="009E1422" w:rsidRDefault="009E1422" w:rsidP="009E1422">
      <w:pPr>
        <w:rPr>
          <w:lang w:val="es-ES"/>
        </w:rPr>
      </w:pPr>
    </w:p>
    <w:p w14:paraId="6D5DA966" w14:textId="77777777" w:rsidR="009E1422" w:rsidRPr="009E1422" w:rsidRDefault="009E1422" w:rsidP="009E1422">
      <w:pPr>
        <w:pStyle w:val="Prrafodelista"/>
        <w:numPr>
          <w:ilvl w:val="0"/>
          <w:numId w:val="30"/>
        </w:numPr>
        <w:ind w:left="426" w:hanging="426"/>
        <w:rPr>
          <w:lang w:val="es-ES"/>
        </w:rPr>
      </w:pPr>
      <w:r w:rsidRPr="009E1422">
        <w:rPr>
          <w:lang w:val="es-ES"/>
        </w:rPr>
        <w:t>El proceso de fabricación es extremadamente complejo.</w:t>
      </w:r>
    </w:p>
    <w:p w14:paraId="3D38A3FE" w14:textId="77777777" w:rsidR="009E1422" w:rsidRPr="009E1422" w:rsidRDefault="009E1422" w:rsidP="009E1422">
      <w:pPr>
        <w:pStyle w:val="Prrafodelista"/>
        <w:numPr>
          <w:ilvl w:val="0"/>
          <w:numId w:val="30"/>
        </w:numPr>
        <w:ind w:left="426" w:hanging="426"/>
        <w:rPr>
          <w:lang w:val="es-ES"/>
        </w:rPr>
      </w:pPr>
      <w:r w:rsidRPr="009E1422">
        <w:rPr>
          <w:lang w:val="es-ES"/>
        </w:rPr>
        <w:t>Son fabricados mediante el uso de material biológico y ADN humano, bacteriano o animal.</w:t>
      </w:r>
    </w:p>
    <w:p w14:paraId="40F81D84" w14:textId="77777777" w:rsidR="009E1422" w:rsidRPr="009E1422" w:rsidRDefault="009E1422" w:rsidP="009E1422">
      <w:pPr>
        <w:pStyle w:val="Prrafodelista"/>
        <w:numPr>
          <w:ilvl w:val="0"/>
          <w:numId w:val="30"/>
        </w:numPr>
        <w:ind w:left="426" w:hanging="426"/>
        <w:rPr>
          <w:lang w:val="es-ES"/>
        </w:rPr>
      </w:pPr>
      <w:r w:rsidRPr="009E1422">
        <w:rPr>
          <w:lang w:val="es-ES"/>
        </w:rPr>
        <w:t>El producto resultante es altamente complejo y está compuesto con moléculas enormes (en comparación con los medicamentos químicos)  y de un gran peso molecular.</w:t>
      </w:r>
    </w:p>
    <w:p w14:paraId="09912D6B" w14:textId="77777777" w:rsidR="009E1422" w:rsidRPr="009E1422" w:rsidRDefault="009E1422" w:rsidP="009E1422">
      <w:pPr>
        <w:pStyle w:val="Prrafodelista"/>
        <w:numPr>
          <w:ilvl w:val="0"/>
          <w:numId w:val="30"/>
        </w:numPr>
        <w:ind w:left="426" w:hanging="426"/>
        <w:rPr>
          <w:lang w:val="es-ES"/>
        </w:rPr>
      </w:pPr>
      <w:r w:rsidRPr="009E1422">
        <w:rPr>
          <w:lang w:val="es-ES"/>
        </w:rPr>
        <w:t>Su estructura es inestable y flexible.</w:t>
      </w:r>
    </w:p>
    <w:p w14:paraId="75D63614" w14:textId="43D6E216" w:rsidR="009E1422" w:rsidRDefault="009E1422" w:rsidP="009E1422">
      <w:pPr>
        <w:pStyle w:val="Prrafodelista"/>
        <w:numPr>
          <w:ilvl w:val="0"/>
          <w:numId w:val="30"/>
        </w:numPr>
        <w:ind w:left="426" w:hanging="426"/>
        <w:rPr>
          <w:lang w:val="es-ES"/>
        </w:rPr>
      </w:pPr>
      <w:r w:rsidRPr="009E1422">
        <w:rPr>
          <w:lang w:val="es-ES"/>
        </w:rPr>
        <w:t>La caracterización y purificación de producto es ardua.</w:t>
      </w:r>
    </w:p>
    <w:p w14:paraId="25AC471A" w14:textId="77777777" w:rsidR="009E1422" w:rsidRDefault="009E1422" w:rsidP="009E1422">
      <w:pPr>
        <w:ind w:left="0"/>
        <w:rPr>
          <w:lang w:val="es-ES"/>
        </w:rPr>
      </w:pPr>
    </w:p>
    <w:p w14:paraId="56082307" w14:textId="406216B3" w:rsidR="009E1422" w:rsidRPr="009E1422" w:rsidRDefault="00275CEA" w:rsidP="009E1422">
      <w:pPr>
        <w:pStyle w:val="Ttulo2"/>
        <w:rPr>
          <w:lang w:val="es-ES"/>
        </w:rPr>
      </w:pPr>
      <w:bookmarkStart w:id="58" w:name="_Toc400525392"/>
      <w:r>
        <w:rPr>
          <w:lang w:val="es-ES"/>
        </w:rPr>
        <w:t>3.3</w:t>
      </w:r>
      <w:r w:rsidR="009E1422">
        <w:rPr>
          <w:lang w:val="es-ES"/>
        </w:rPr>
        <w:t>. Medicamentos genéricos.</w:t>
      </w:r>
      <w:bookmarkEnd w:id="58"/>
    </w:p>
    <w:p w14:paraId="6F5E928F" w14:textId="77777777" w:rsidR="009E1422" w:rsidRPr="009E1422" w:rsidRDefault="009E1422" w:rsidP="009E1422">
      <w:pPr>
        <w:ind w:left="0"/>
        <w:rPr>
          <w:rFonts w:cs="Arial"/>
          <w:lang w:val="es-ES"/>
        </w:rPr>
      </w:pPr>
    </w:p>
    <w:p w14:paraId="16AE005E" w14:textId="60936BBB" w:rsidR="00A83135" w:rsidRDefault="009E1422" w:rsidP="00602992">
      <w:pPr>
        <w:ind w:left="0" w:firstLine="360"/>
        <w:rPr>
          <w:rFonts w:cs="Arial"/>
          <w:lang w:val="es-ES"/>
        </w:rPr>
      </w:pPr>
      <w:r>
        <w:rPr>
          <w:rFonts w:cs="Arial"/>
          <w:lang w:val="es-ES"/>
        </w:rPr>
        <w:t>Sobre los medicamentos genéricos se han escrito ya ríos de tinta, por lo que, en aras de la brevedad, recordaremos que son de una manera concisa.</w:t>
      </w:r>
    </w:p>
    <w:p w14:paraId="07BF5A55" w14:textId="77777777" w:rsidR="009E1422" w:rsidRDefault="009E1422" w:rsidP="009E1422">
      <w:pPr>
        <w:ind w:left="0"/>
        <w:rPr>
          <w:rFonts w:cs="Arial"/>
          <w:lang w:val="es-ES"/>
        </w:rPr>
      </w:pPr>
    </w:p>
    <w:p w14:paraId="4EA6B2FB" w14:textId="1817387C" w:rsidR="009E1422" w:rsidRPr="001853B1" w:rsidRDefault="001135D9" w:rsidP="00602992">
      <w:pPr>
        <w:ind w:left="0" w:firstLine="360"/>
        <w:rPr>
          <w:rFonts w:cs="Arial"/>
          <w:lang w:val="es-ES"/>
        </w:rPr>
      </w:pPr>
      <w:r>
        <w:rPr>
          <w:rFonts w:cs="Arial"/>
          <w:lang w:val="es-ES"/>
        </w:rPr>
        <w:lastRenderedPageBreak/>
        <w:t xml:space="preserve">A nivel europeo rige la Directiva 2001/83/EC. </w:t>
      </w:r>
      <w:r w:rsidR="003F720D" w:rsidRPr="003F720D">
        <w:rPr>
          <w:rFonts w:cs="Arial"/>
          <w:lang w:val="es-ES"/>
        </w:rPr>
        <w:t>Según la Ley de Garantías y Uso Racional de los Medicamentos y Productos Sanitarios de julio 2006 (LGURMPS), </w:t>
      </w:r>
      <w:r w:rsidR="003F720D" w:rsidRPr="001853B1">
        <w:rPr>
          <w:rFonts w:cs="Arial"/>
          <w:bCs/>
          <w:lang w:val="es-ES"/>
        </w:rPr>
        <w:t>un genérico es “todo medicamento que tenga la misma composición cualitativa y cuantitativa en principios activos y la misma forma farmacéutica, y cuya bioequivalencia con el medicamento de referencia haya sido demostrada por estudios adecuados de biodisponibilidad".</w:t>
      </w:r>
    </w:p>
    <w:p w14:paraId="4C128FAA" w14:textId="77777777" w:rsidR="000906C6" w:rsidRDefault="000906C6" w:rsidP="009E1422">
      <w:pPr>
        <w:ind w:left="0"/>
        <w:rPr>
          <w:rFonts w:cs="Arial"/>
          <w:lang w:val="es-ES"/>
        </w:rPr>
      </w:pPr>
    </w:p>
    <w:p w14:paraId="4CEA16BF" w14:textId="77777777" w:rsidR="000906C6" w:rsidRDefault="000906C6" w:rsidP="00602992">
      <w:pPr>
        <w:ind w:left="0" w:firstLine="360"/>
        <w:rPr>
          <w:rFonts w:cs="Arial"/>
          <w:lang w:val="es-ES"/>
        </w:rPr>
      </w:pPr>
      <w:r w:rsidRPr="001853B1">
        <w:rPr>
          <w:lang w:val="es-ES"/>
        </w:rPr>
        <w:t>Los medicamentos genéricos deberán designarse con una denominación oficial española de principio activo (DOE) y, en su defecto, con la denominación común internacional (DCI) o bien, si ésta no existiese, con la denominación común usual o científica de dicha sustancia, acompañada, en su caso, del nombre o marca del titular o fabricante. Se identificarán, además, con las siglas EFG (Equivalente Farmacéutico Genérico).</w:t>
      </w:r>
    </w:p>
    <w:p w14:paraId="55B90A05" w14:textId="77777777" w:rsidR="000906C6" w:rsidRDefault="000906C6" w:rsidP="009E1422">
      <w:pPr>
        <w:ind w:left="0"/>
        <w:rPr>
          <w:rFonts w:cs="Arial"/>
          <w:lang w:val="es-ES"/>
        </w:rPr>
      </w:pPr>
    </w:p>
    <w:p w14:paraId="429936A2" w14:textId="21C6364B" w:rsidR="001853B1" w:rsidRDefault="000906C6" w:rsidP="00602992">
      <w:pPr>
        <w:ind w:left="0" w:firstLine="360"/>
        <w:rPr>
          <w:rFonts w:cs="Arial"/>
          <w:lang w:val="es-ES"/>
        </w:rPr>
      </w:pPr>
      <w:r>
        <w:rPr>
          <w:rFonts w:cs="Arial"/>
          <w:lang w:val="es-ES"/>
        </w:rPr>
        <w:t>U</w:t>
      </w:r>
      <w:r w:rsidR="001853B1">
        <w:rPr>
          <w:rFonts w:cs="Arial"/>
          <w:lang w:val="es-ES"/>
        </w:rPr>
        <w:t>n medicamento pierde la protección de la patente</w:t>
      </w:r>
      <w:r>
        <w:rPr>
          <w:rFonts w:cs="Arial"/>
          <w:lang w:val="es-ES"/>
        </w:rPr>
        <w:t xml:space="preserve"> ya sea </w:t>
      </w:r>
      <w:r w:rsidR="001853B1">
        <w:rPr>
          <w:rFonts w:cs="Arial"/>
          <w:lang w:val="es-ES"/>
        </w:rPr>
        <w:t xml:space="preserve">por el transcurso máximo del periodo legalmente establecido o </w:t>
      </w:r>
      <w:r w:rsidR="00D32546">
        <w:rPr>
          <w:rFonts w:cs="Arial"/>
          <w:lang w:val="es-ES"/>
        </w:rPr>
        <w:t>debido a que</w:t>
      </w:r>
      <w:r w:rsidR="001853B1">
        <w:rPr>
          <w:rFonts w:cs="Arial"/>
          <w:lang w:val="es-ES"/>
        </w:rPr>
        <w:t xml:space="preserve"> se decide, por la razón que sea, no renovar el derecho de patente</w:t>
      </w:r>
      <w:r>
        <w:rPr>
          <w:rFonts w:cs="Arial"/>
          <w:lang w:val="es-ES"/>
        </w:rPr>
        <w:t>. Cuando esto ocurre</w:t>
      </w:r>
      <w:r w:rsidR="001853B1">
        <w:rPr>
          <w:rFonts w:cs="Arial"/>
          <w:lang w:val="es-ES"/>
        </w:rPr>
        <w:t xml:space="preserve"> los competidores, que por lo general serán compañías farmacéuticas especializadas en este tipo de medicamentos, lanzarán al mercado copias de los medicamentos que fueron innovadores en su día. Para la compañía fabricante de los genéricos los gastos se reducen de una manera sustancial</w:t>
      </w:r>
      <w:r>
        <w:rPr>
          <w:rFonts w:cs="Arial"/>
          <w:lang w:val="es-ES"/>
        </w:rPr>
        <w:t xml:space="preserve"> puesto que se eliminan los gastos en investigación y en ensayos clínicos. Además, las exigencias desde las agencias regulatorias, que aunque siguen existiendo, son mucho menos estrictas a cuando se desarrolla un fármaco desde cero.</w:t>
      </w:r>
    </w:p>
    <w:p w14:paraId="52002905" w14:textId="77777777" w:rsidR="001853B1" w:rsidRDefault="001853B1" w:rsidP="009E1422">
      <w:pPr>
        <w:ind w:left="0"/>
        <w:rPr>
          <w:rFonts w:cs="Arial"/>
          <w:lang w:val="es-ES"/>
        </w:rPr>
      </w:pPr>
    </w:p>
    <w:p w14:paraId="37992D83" w14:textId="73CA0C48" w:rsidR="006E68E7" w:rsidRDefault="000906C6" w:rsidP="00602992">
      <w:pPr>
        <w:ind w:left="0" w:firstLine="360"/>
        <w:rPr>
          <w:rFonts w:cs="Arial"/>
          <w:lang w:val="es-ES"/>
        </w:rPr>
      </w:pPr>
      <w:r>
        <w:rPr>
          <w:rFonts w:cs="Arial"/>
          <w:lang w:val="es-ES"/>
        </w:rPr>
        <w:t>Como es lógico</w:t>
      </w:r>
      <w:r w:rsidR="00602992">
        <w:rPr>
          <w:rFonts w:cs="Arial"/>
          <w:lang w:val="es-ES"/>
        </w:rPr>
        <w:t>,</w:t>
      </w:r>
      <w:r>
        <w:rPr>
          <w:rFonts w:cs="Arial"/>
          <w:lang w:val="es-ES"/>
        </w:rPr>
        <w:t xml:space="preserve"> la entrada en un mercado, que durante años ha sido monopolístico, </w:t>
      </w:r>
      <w:r w:rsidR="006E68E7">
        <w:rPr>
          <w:rFonts w:cs="Arial"/>
          <w:lang w:val="es-ES"/>
        </w:rPr>
        <w:t xml:space="preserve">de uno o varios competidores, que ofrecen el mismo producto más barato, </w:t>
      </w:r>
      <w:r>
        <w:rPr>
          <w:rFonts w:cs="Arial"/>
          <w:lang w:val="es-ES"/>
        </w:rPr>
        <w:t>supone que los precios de los medicamentos bajen sustancialmente</w:t>
      </w:r>
      <w:r w:rsidR="006E68E7">
        <w:rPr>
          <w:rFonts w:cs="Arial"/>
          <w:lang w:val="es-ES"/>
        </w:rPr>
        <w:t xml:space="preserve">. </w:t>
      </w:r>
      <w:r w:rsidR="001135D9">
        <w:rPr>
          <w:rFonts w:cs="Arial"/>
          <w:lang w:val="es-ES"/>
        </w:rPr>
        <w:t xml:space="preserve">Las compañías que comercializan los EFG no tienen </w:t>
      </w:r>
      <w:r w:rsidR="00E04044">
        <w:rPr>
          <w:rFonts w:cs="Arial"/>
          <w:lang w:val="es-ES"/>
        </w:rPr>
        <w:t>la obligación de</w:t>
      </w:r>
      <w:r w:rsidR="001135D9">
        <w:rPr>
          <w:rFonts w:cs="Arial"/>
          <w:lang w:val="es-ES"/>
        </w:rPr>
        <w:t xml:space="preserve"> realizar ensayos preclínicos y clínicos para conseguir la autorización de comercialización, siempre y cuando sean capaces de demostrar la bioequivalencia entre el medicamento de marca y el genérico. De Acuerdo con el informe de la Comisión Europa </w:t>
      </w:r>
      <w:r w:rsidR="001135D9" w:rsidRPr="001135D9">
        <w:rPr>
          <w:rFonts w:cs="Arial"/>
          <w:i/>
          <w:lang w:val="es-ES"/>
        </w:rPr>
        <w:t>“Pharma Report”</w:t>
      </w:r>
      <w:r w:rsidR="001135D9">
        <w:rPr>
          <w:rFonts w:cs="Arial"/>
          <w:lang w:val="es-ES"/>
        </w:rPr>
        <w:t xml:space="preserve"> la media de tiempo que transcurre desde que un medicamento pierde la protección de la patente hasta que lo competidores entran en el mercado es de tan solo siete meses. </w:t>
      </w:r>
      <w:r w:rsidR="006E68E7">
        <w:rPr>
          <w:rFonts w:cs="Arial"/>
          <w:lang w:val="es-ES"/>
        </w:rPr>
        <w:t>Esto se traduce en</w:t>
      </w:r>
      <w:r>
        <w:rPr>
          <w:rFonts w:cs="Arial"/>
          <w:lang w:val="es-ES"/>
        </w:rPr>
        <w:t xml:space="preserve"> un ahorro para el consumidor final o para </w:t>
      </w:r>
      <w:r w:rsidR="006E68E7">
        <w:rPr>
          <w:rFonts w:cs="Arial"/>
          <w:lang w:val="es-ES"/>
        </w:rPr>
        <w:t>los</w:t>
      </w:r>
      <w:r>
        <w:rPr>
          <w:rFonts w:cs="Arial"/>
          <w:lang w:val="es-ES"/>
        </w:rPr>
        <w:t xml:space="preserve"> estados que, a través de sus ingresos vía impositiva,</w:t>
      </w:r>
      <w:r w:rsidR="006E68E7">
        <w:rPr>
          <w:rFonts w:cs="Arial"/>
          <w:lang w:val="es-ES"/>
        </w:rPr>
        <w:t xml:space="preserve"> financian el gasto farmacéutico de los ciudadanos. Teniendo en cuenta que a día de hoy una de las partidas presupuestarias más importante que han de dotar los gobiernos es la del gasto farmacéutico parece lógico que estos estén fomentado e incentivando el consumo de productos genéricos frente a los originales, que por lo general, suelen ser más costosos. </w:t>
      </w:r>
      <w:r w:rsidR="0092507F">
        <w:rPr>
          <w:rFonts w:cs="Arial"/>
          <w:lang w:val="es-ES"/>
        </w:rPr>
        <w:t>Por ejemplo, en España, este tipo de actuación se</w:t>
      </w:r>
      <w:r w:rsidR="006E68E7">
        <w:rPr>
          <w:rFonts w:cs="Arial"/>
          <w:lang w:val="es-ES"/>
        </w:rPr>
        <w:t xml:space="preserve"> ve claramente en los arts. 85 y 86 del </w:t>
      </w:r>
      <w:r w:rsidR="006E68E7" w:rsidRPr="006E68E7">
        <w:rPr>
          <w:rFonts w:cs="Arial"/>
          <w:bCs/>
          <w:lang w:val="es-ES"/>
        </w:rPr>
        <w:t>Real Decreto-ley 16/2012 del 12 de abril y la Ley de Garantías y Uso racional del medicamento y productos sanitarios, en cuanto a</w:t>
      </w:r>
      <w:r w:rsidR="001135D9">
        <w:rPr>
          <w:rFonts w:cs="Arial"/>
          <w:bCs/>
          <w:lang w:val="es-ES"/>
        </w:rPr>
        <w:t xml:space="preserve"> Prescripción y Sustitución de M</w:t>
      </w:r>
      <w:r w:rsidR="006E68E7" w:rsidRPr="006E68E7">
        <w:rPr>
          <w:rFonts w:cs="Arial"/>
          <w:bCs/>
          <w:lang w:val="es-ES"/>
        </w:rPr>
        <w:t>edicamentos</w:t>
      </w:r>
      <w:r w:rsidR="006E68E7">
        <w:rPr>
          <w:rFonts w:cs="Arial"/>
          <w:lang w:val="es-ES"/>
        </w:rPr>
        <w:t>:</w:t>
      </w:r>
    </w:p>
    <w:p w14:paraId="7714BA71" w14:textId="77777777" w:rsidR="006E68E7" w:rsidRDefault="006E68E7" w:rsidP="009E1422">
      <w:pPr>
        <w:ind w:left="0"/>
        <w:rPr>
          <w:rFonts w:cs="Arial"/>
          <w:lang w:val="es-ES"/>
        </w:rPr>
      </w:pPr>
    </w:p>
    <w:p w14:paraId="127E71A5" w14:textId="69072230" w:rsidR="006E68E7" w:rsidRPr="00795BF2" w:rsidRDefault="006E68E7" w:rsidP="00602992">
      <w:pPr>
        <w:ind w:left="567" w:right="567"/>
        <w:rPr>
          <w:rFonts w:cs="Arial"/>
          <w:i/>
          <w:color w:val="595959" w:themeColor="text1" w:themeTint="A6"/>
          <w:lang w:val="es-ES"/>
        </w:rPr>
      </w:pPr>
      <w:r w:rsidRPr="00795BF2">
        <w:rPr>
          <w:rFonts w:cs="Arial"/>
          <w:bCs/>
          <w:i/>
          <w:color w:val="595959" w:themeColor="text1" w:themeTint="A6"/>
          <w:lang w:val="es-ES"/>
        </w:rPr>
        <w:t>“Artículo 85: Prescripción de medicamentos y productos sanitarios.</w:t>
      </w:r>
    </w:p>
    <w:p w14:paraId="49EA236E" w14:textId="77777777" w:rsidR="006E68E7" w:rsidRPr="00795BF2" w:rsidRDefault="006E68E7" w:rsidP="00602992">
      <w:pPr>
        <w:ind w:left="567" w:right="567"/>
        <w:rPr>
          <w:rFonts w:cs="Arial"/>
          <w:i/>
          <w:color w:val="595959" w:themeColor="text1" w:themeTint="A6"/>
          <w:lang w:val="es-ES"/>
        </w:rPr>
      </w:pPr>
    </w:p>
    <w:p w14:paraId="16746585" w14:textId="493C7885" w:rsidR="006E68E7" w:rsidRPr="00795BF2" w:rsidRDefault="006E68E7" w:rsidP="00602992">
      <w:pPr>
        <w:numPr>
          <w:ilvl w:val="0"/>
          <w:numId w:val="31"/>
        </w:numPr>
        <w:ind w:left="567" w:right="567" w:firstLine="0"/>
        <w:rPr>
          <w:rFonts w:cs="Arial"/>
          <w:i/>
          <w:color w:val="595959" w:themeColor="text1" w:themeTint="A6"/>
          <w:lang w:val="es-ES"/>
        </w:rPr>
      </w:pPr>
      <w:r w:rsidRPr="00795BF2">
        <w:rPr>
          <w:rFonts w:cs="Arial"/>
          <w:i/>
          <w:color w:val="595959" w:themeColor="text1" w:themeTint="A6"/>
          <w:lang w:val="es-ES"/>
        </w:rPr>
        <w:t>La prescripción de medicamentos y productos sanitarios en el sistema Nacional de Salud se efectuará de la forma más apropiada para el beneficio de los pacientes, a la vez que se protege la sostenibilidad del sistema.</w:t>
      </w:r>
    </w:p>
    <w:p w14:paraId="2FE87237" w14:textId="77777777" w:rsidR="006E68E7" w:rsidRPr="00795BF2" w:rsidRDefault="006E68E7" w:rsidP="00602992">
      <w:pPr>
        <w:ind w:left="567" w:right="567"/>
        <w:rPr>
          <w:rFonts w:cs="Arial"/>
          <w:i/>
          <w:color w:val="595959" w:themeColor="text1" w:themeTint="A6"/>
          <w:lang w:val="es-ES"/>
        </w:rPr>
      </w:pPr>
    </w:p>
    <w:p w14:paraId="33AB4BA4" w14:textId="755086C7" w:rsidR="006E68E7" w:rsidRPr="00795BF2" w:rsidRDefault="006E68E7" w:rsidP="00602992">
      <w:pPr>
        <w:numPr>
          <w:ilvl w:val="0"/>
          <w:numId w:val="31"/>
        </w:numPr>
        <w:ind w:left="567" w:right="567" w:firstLine="0"/>
        <w:rPr>
          <w:rFonts w:cs="Arial"/>
          <w:i/>
          <w:color w:val="595959" w:themeColor="text1" w:themeTint="A6"/>
          <w:lang w:val="es-ES"/>
        </w:rPr>
      </w:pPr>
      <w:r w:rsidRPr="00795BF2">
        <w:rPr>
          <w:rFonts w:cs="Arial"/>
          <w:i/>
          <w:color w:val="595959" w:themeColor="text1" w:themeTint="A6"/>
          <w:lang w:val="es-ES"/>
        </w:rPr>
        <w:t>En el Sistema Nacional de Salud, las prescripciones de medicamentos incluidos en el sistema de precios de referencia o de agrupaciones homogéneas no incluidas en el mismo se efectuarán de acuerdo con el siguiente esquema:</w:t>
      </w:r>
    </w:p>
    <w:p w14:paraId="5225A748" w14:textId="77777777" w:rsidR="006E68E7" w:rsidRPr="00795BF2" w:rsidRDefault="006E68E7" w:rsidP="00602992">
      <w:pPr>
        <w:ind w:left="567" w:right="567"/>
        <w:rPr>
          <w:rFonts w:cs="Arial"/>
          <w:i/>
          <w:color w:val="595959" w:themeColor="text1" w:themeTint="A6"/>
          <w:lang w:val="es-ES"/>
        </w:rPr>
      </w:pPr>
    </w:p>
    <w:p w14:paraId="4D818F1F" w14:textId="77777777" w:rsidR="006E68E7" w:rsidRPr="00795BF2" w:rsidRDefault="006E68E7" w:rsidP="00602992">
      <w:pPr>
        <w:numPr>
          <w:ilvl w:val="1"/>
          <w:numId w:val="31"/>
        </w:numPr>
        <w:ind w:left="993" w:right="567" w:hanging="426"/>
        <w:rPr>
          <w:rFonts w:cs="Arial"/>
          <w:i/>
          <w:color w:val="595959" w:themeColor="text1" w:themeTint="A6"/>
          <w:lang w:val="es-ES"/>
        </w:rPr>
      </w:pPr>
      <w:r w:rsidRPr="00795BF2">
        <w:rPr>
          <w:rFonts w:cs="Arial"/>
          <w:i/>
          <w:color w:val="595959" w:themeColor="text1" w:themeTint="A6"/>
          <w:lang w:val="es-ES"/>
        </w:rPr>
        <w:lastRenderedPageBreak/>
        <w:t>Para procesos agudos, la prescripción se hará, de forma general, por principio activo.</w:t>
      </w:r>
    </w:p>
    <w:p w14:paraId="7E5C691B" w14:textId="77777777" w:rsidR="006E68E7" w:rsidRPr="00795BF2" w:rsidRDefault="006E68E7" w:rsidP="00602992">
      <w:pPr>
        <w:numPr>
          <w:ilvl w:val="1"/>
          <w:numId w:val="31"/>
        </w:numPr>
        <w:ind w:left="993" w:right="567" w:hanging="426"/>
        <w:rPr>
          <w:rFonts w:cs="Arial"/>
          <w:i/>
          <w:color w:val="595959" w:themeColor="text1" w:themeTint="A6"/>
          <w:lang w:val="es-ES"/>
        </w:rPr>
      </w:pPr>
      <w:r w:rsidRPr="00795BF2">
        <w:rPr>
          <w:rFonts w:cs="Arial"/>
          <w:i/>
          <w:color w:val="595959" w:themeColor="text1" w:themeTint="A6"/>
          <w:lang w:val="es-ES"/>
        </w:rPr>
        <w:t>Para los procesos crónicos, la primera prescripción, correspondiente a la instauración del primer tratamiento, se hará, de forma general, por principio activo.</w:t>
      </w:r>
    </w:p>
    <w:p w14:paraId="3A3930A3" w14:textId="0E2C9C3A" w:rsidR="006E68E7" w:rsidRPr="00795BF2" w:rsidRDefault="006E68E7" w:rsidP="00602992">
      <w:pPr>
        <w:numPr>
          <w:ilvl w:val="1"/>
          <w:numId w:val="31"/>
        </w:numPr>
        <w:ind w:left="993" w:right="567" w:hanging="426"/>
        <w:rPr>
          <w:rFonts w:cs="Arial"/>
          <w:i/>
          <w:color w:val="595959" w:themeColor="text1" w:themeTint="A6"/>
          <w:lang w:val="es-ES"/>
        </w:rPr>
      </w:pPr>
      <w:r w:rsidRPr="00795BF2">
        <w:rPr>
          <w:rFonts w:cs="Arial"/>
          <w:i/>
          <w:color w:val="595959" w:themeColor="text1" w:themeTint="A6"/>
          <w:lang w:val="es-ES"/>
        </w:rPr>
        <w:t>Para los procesos crónicos cuya prescripción se corresponda con la continuidad de tratamiento, podrá realizarse por denominación comercial, siempre y cuando ésta se encuentre incluida en el sistema de precios de referencia o sea la de menor precio dentro de su agrupación homogénea.</w:t>
      </w:r>
    </w:p>
    <w:p w14:paraId="289124E4" w14:textId="77777777" w:rsidR="006E68E7" w:rsidRPr="00795BF2" w:rsidRDefault="006E68E7" w:rsidP="00602992">
      <w:pPr>
        <w:ind w:left="567" w:right="567"/>
        <w:rPr>
          <w:rFonts w:cs="Arial"/>
          <w:i/>
          <w:color w:val="595959" w:themeColor="text1" w:themeTint="A6"/>
          <w:lang w:val="es-ES"/>
        </w:rPr>
      </w:pPr>
    </w:p>
    <w:p w14:paraId="3F0BB28F" w14:textId="1F4EDFB3" w:rsidR="006E68E7" w:rsidRPr="00795BF2" w:rsidRDefault="006E68E7" w:rsidP="00602992">
      <w:pPr>
        <w:numPr>
          <w:ilvl w:val="0"/>
          <w:numId w:val="31"/>
        </w:numPr>
        <w:ind w:left="567" w:right="567" w:firstLine="0"/>
        <w:rPr>
          <w:rFonts w:cs="Arial"/>
          <w:i/>
          <w:color w:val="595959" w:themeColor="text1" w:themeTint="A6"/>
          <w:lang w:val="es-ES"/>
        </w:rPr>
      </w:pPr>
      <w:r w:rsidRPr="00795BF2">
        <w:rPr>
          <w:rFonts w:cs="Arial"/>
          <w:i/>
          <w:color w:val="595959" w:themeColor="text1" w:themeTint="A6"/>
          <w:lang w:val="es-ES"/>
        </w:rPr>
        <w:t>No obstante, la prescripción por denominación comercial de medicamentos será posible siempre y cuando se respete el principio de mayor eficiencia para el sistema y en el caso de los medicamentos considerados como no sustituibles.</w:t>
      </w:r>
    </w:p>
    <w:p w14:paraId="0B9685A1" w14:textId="77777777" w:rsidR="006E68E7" w:rsidRPr="00795BF2" w:rsidRDefault="006E68E7" w:rsidP="00602992">
      <w:pPr>
        <w:ind w:left="567" w:right="567"/>
        <w:rPr>
          <w:rFonts w:cs="Arial"/>
          <w:i/>
          <w:color w:val="595959" w:themeColor="text1" w:themeTint="A6"/>
          <w:lang w:val="es-ES"/>
        </w:rPr>
      </w:pPr>
    </w:p>
    <w:p w14:paraId="3ECDED85" w14:textId="1D3EBAFB" w:rsidR="006E68E7" w:rsidRPr="00795BF2" w:rsidRDefault="006E68E7" w:rsidP="00602992">
      <w:pPr>
        <w:numPr>
          <w:ilvl w:val="0"/>
          <w:numId w:val="31"/>
        </w:numPr>
        <w:ind w:left="567" w:right="567" w:firstLine="0"/>
        <w:rPr>
          <w:rFonts w:cs="Arial"/>
          <w:i/>
          <w:color w:val="595959" w:themeColor="text1" w:themeTint="A6"/>
          <w:lang w:val="es-ES"/>
        </w:rPr>
      </w:pPr>
      <w:r w:rsidRPr="00795BF2">
        <w:rPr>
          <w:rFonts w:cs="Arial"/>
          <w:i/>
          <w:color w:val="595959" w:themeColor="text1" w:themeTint="A6"/>
          <w:lang w:val="es-ES"/>
        </w:rPr>
        <w:t>Cuando la prescripción se realice por principio activo, el farmacéutico dispensará el medicamento de precio más bajo de su agrupación homogénea y, en el caso de igualdad, el medicamento genérico o el medicamento biosimilar correspondiente.</w:t>
      </w:r>
    </w:p>
    <w:p w14:paraId="55F13CCE" w14:textId="77777777" w:rsidR="006E68E7" w:rsidRPr="00795BF2" w:rsidRDefault="006E68E7" w:rsidP="00602992">
      <w:pPr>
        <w:ind w:left="567" w:right="567"/>
        <w:rPr>
          <w:rFonts w:cs="Arial"/>
          <w:i/>
          <w:color w:val="595959" w:themeColor="text1" w:themeTint="A6"/>
          <w:lang w:val="es-ES"/>
        </w:rPr>
      </w:pPr>
    </w:p>
    <w:p w14:paraId="7D1DCB6C" w14:textId="7ED6F447" w:rsidR="006E68E7" w:rsidRPr="00795BF2" w:rsidRDefault="006E68E7" w:rsidP="00602992">
      <w:pPr>
        <w:numPr>
          <w:ilvl w:val="0"/>
          <w:numId w:val="31"/>
        </w:numPr>
        <w:ind w:left="567" w:right="567" w:firstLine="0"/>
        <w:rPr>
          <w:rFonts w:cs="Arial"/>
          <w:i/>
          <w:color w:val="595959" w:themeColor="text1" w:themeTint="A6"/>
          <w:lang w:val="es-ES"/>
        </w:rPr>
      </w:pPr>
      <w:r w:rsidRPr="00795BF2">
        <w:rPr>
          <w:rFonts w:cs="Arial"/>
          <w:i/>
          <w:color w:val="595959" w:themeColor="text1" w:themeTint="A6"/>
          <w:lang w:val="es-ES"/>
        </w:rPr>
        <w:t>En todo caso, la prescripción de un medicamento para su utilización en condiciones diferentes a las establecidas en su ficha técnica deberá ser autorizada previamente por la comisión responsable de los protocolos terapéuticos u órgano colegiado equivalente en cada comunidad autónoma.”</w:t>
      </w:r>
    </w:p>
    <w:p w14:paraId="0C1C7781" w14:textId="77777777" w:rsidR="006E68E7" w:rsidRPr="00795BF2" w:rsidRDefault="006E68E7" w:rsidP="00602992">
      <w:pPr>
        <w:ind w:left="567" w:right="567"/>
        <w:rPr>
          <w:rFonts w:cs="Arial"/>
          <w:i/>
          <w:color w:val="595959" w:themeColor="text1" w:themeTint="A6"/>
          <w:lang w:val="es-ES"/>
        </w:rPr>
      </w:pPr>
    </w:p>
    <w:p w14:paraId="0A97EA02" w14:textId="1B2864DA" w:rsidR="006E68E7" w:rsidRPr="00795BF2" w:rsidRDefault="006E68E7" w:rsidP="00602992">
      <w:pPr>
        <w:ind w:left="567" w:right="567"/>
        <w:rPr>
          <w:rFonts w:cs="Arial"/>
          <w:bCs/>
          <w:i/>
          <w:color w:val="595959" w:themeColor="text1" w:themeTint="A6"/>
          <w:lang w:val="es-ES"/>
        </w:rPr>
      </w:pPr>
      <w:r w:rsidRPr="00795BF2">
        <w:rPr>
          <w:rFonts w:cs="Arial"/>
          <w:bCs/>
          <w:i/>
          <w:color w:val="595959" w:themeColor="text1" w:themeTint="A6"/>
          <w:lang w:val="es-ES"/>
        </w:rPr>
        <w:t>“Artículo 86: Sustitución por el farmacéutico”</w:t>
      </w:r>
    </w:p>
    <w:p w14:paraId="6977D1D9" w14:textId="77777777" w:rsidR="006E68E7" w:rsidRPr="00795BF2" w:rsidRDefault="006E68E7" w:rsidP="00602992">
      <w:pPr>
        <w:ind w:left="567" w:right="567"/>
        <w:rPr>
          <w:rFonts w:cs="Arial"/>
          <w:bCs/>
          <w:i/>
          <w:color w:val="595959" w:themeColor="text1" w:themeTint="A6"/>
          <w:lang w:val="es-ES"/>
        </w:rPr>
      </w:pPr>
    </w:p>
    <w:p w14:paraId="7A98E8FC" w14:textId="77777777" w:rsidR="006E68E7" w:rsidRPr="00795BF2" w:rsidRDefault="006E68E7" w:rsidP="00602992">
      <w:pPr>
        <w:numPr>
          <w:ilvl w:val="0"/>
          <w:numId w:val="32"/>
        </w:numPr>
        <w:ind w:left="567" w:right="567" w:firstLine="0"/>
        <w:rPr>
          <w:rFonts w:cs="Arial"/>
          <w:i/>
          <w:color w:val="595959" w:themeColor="text1" w:themeTint="A6"/>
          <w:lang w:val="es-ES"/>
        </w:rPr>
      </w:pPr>
      <w:r w:rsidRPr="00795BF2">
        <w:rPr>
          <w:rFonts w:cs="Arial"/>
          <w:i/>
          <w:color w:val="595959" w:themeColor="text1" w:themeTint="A6"/>
          <w:lang w:val="es-ES"/>
        </w:rPr>
        <w:t>El farmacéutico dispensará el medicamento prescrito por el médico.</w:t>
      </w:r>
    </w:p>
    <w:p w14:paraId="34BA64C6" w14:textId="77777777" w:rsidR="006E68E7" w:rsidRPr="00795BF2" w:rsidRDefault="006E68E7" w:rsidP="00602992">
      <w:pPr>
        <w:ind w:left="567" w:right="567"/>
        <w:rPr>
          <w:rFonts w:cs="Arial"/>
          <w:i/>
          <w:color w:val="595959" w:themeColor="text1" w:themeTint="A6"/>
          <w:lang w:val="es-ES"/>
        </w:rPr>
      </w:pPr>
    </w:p>
    <w:p w14:paraId="572F06A7" w14:textId="10A5533C" w:rsidR="006E68E7" w:rsidRPr="00795BF2" w:rsidRDefault="006E68E7" w:rsidP="00602992">
      <w:pPr>
        <w:numPr>
          <w:ilvl w:val="0"/>
          <w:numId w:val="32"/>
        </w:numPr>
        <w:ind w:left="567" w:right="567" w:firstLine="0"/>
        <w:rPr>
          <w:rFonts w:cs="Arial"/>
          <w:i/>
          <w:color w:val="595959" w:themeColor="text1" w:themeTint="A6"/>
          <w:lang w:val="es-ES"/>
        </w:rPr>
      </w:pPr>
      <w:r w:rsidRPr="00795BF2">
        <w:rPr>
          <w:rFonts w:cs="Arial"/>
          <w:i/>
          <w:color w:val="595959" w:themeColor="text1" w:themeTint="A6"/>
          <w:lang w:val="es-ES"/>
        </w:rPr>
        <w:t>Con carácter excepcional, cuando por causa de desabastecimiento no se disponga en la oficina de farmacia del medicamento prescrito o concurran razones de urgente necesidad en su dispensación, el farmacéutico podrá sustituirlo por el de menor precio. En todo caso, deberá tener igual composición, forma farmacéutica, vía de administración y dosificación. El farmacéutico informará en todo caso al paciente sobre la sustitución y se asegurará de que conozca el tratamiento prescrito por el médico.</w:t>
      </w:r>
    </w:p>
    <w:p w14:paraId="3176EDA1" w14:textId="77777777" w:rsidR="006E68E7" w:rsidRPr="00795BF2" w:rsidRDefault="006E68E7" w:rsidP="00602992">
      <w:pPr>
        <w:ind w:left="567" w:right="567"/>
        <w:rPr>
          <w:rFonts w:cs="Arial"/>
          <w:i/>
          <w:color w:val="595959" w:themeColor="text1" w:themeTint="A6"/>
          <w:lang w:val="es-ES"/>
        </w:rPr>
      </w:pPr>
    </w:p>
    <w:p w14:paraId="421F1F4B" w14:textId="5C1D6EC1" w:rsidR="006E68E7" w:rsidRPr="00795BF2" w:rsidRDefault="006E68E7" w:rsidP="00602992">
      <w:pPr>
        <w:numPr>
          <w:ilvl w:val="0"/>
          <w:numId w:val="32"/>
        </w:numPr>
        <w:ind w:left="567" w:right="567" w:firstLine="0"/>
        <w:rPr>
          <w:rFonts w:cs="Arial"/>
          <w:i/>
          <w:color w:val="595959" w:themeColor="text1" w:themeTint="A6"/>
          <w:lang w:val="es-ES"/>
        </w:rPr>
      </w:pPr>
      <w:r w:rsidRPr="00795BF2">
        <w:rPr>
          <w:rFonts w:cs="Arial"/>
          <w:i/>
          <w:color w:val="595959" w:themeColor="text1" w:themeTint="A6"/>
          <w:lang w:val="es-ES"/>
        </w:rPr>
        <w:t>En estos casos, el farmacéutico anotará, en el lugar correspondiente de la receta, el medicamento de la misma composición, forma farmacéutica, vía de administración y dosificación que dispense, la fecha, su firma y su rúbrica.</w:t>
      </w:r>
    </w:p>
    <w:p w14:paraId="702ECE02" w14:textId="77777777" w:rsidR="006E68E7" w:rsidRPr="00795BF2" w:rsidRDefault="006E68E7" w:rsidP="00602992">
      <w:pPr>
        <w:ind w:left="567" w:right="567"/>
        <w:rPr>
          <w:rFonts w:cs="Arial"/>
          <w:i/>
          <w:color w:val="595959" w:themeColor="text1" w:themeTint="A6"/>
          <w:lang w:val="es-ES"/>
        </w:rPr>
      </w:pPr>
    </w:p>
    <w:p w14:paraId="60867746" w14:textId="77777777" w:rsidR="006E68E7" w:rsidRPr="00795BF2" w:rsidRDefault="006E68E7" w:rsidP="00602992">
      <w:pPr>
        <w:numPr>
          <w:ilvl w:val="0"/>
          <w:numId w:val="32"/>
        </w:numPr>
        <w:ind w:left="567" w:right="567" w:firstLine="0"/>
        <w:rPr>
          <w:rFonts w:cs="Arial"/>
          <w:i/>
          <w:color w:val="595959" w:themeColor="text1" w:themeTint="A6"/>
          <w:lang w:val="es-ES"/>
        </w:rPr>
      </w:pPr>
      <w:r w:rsidRPr="00795BF2">
        <w:rPr>
          <w:rFonts w:cs="Arial"/>
          <w:i/>
          <w:color w:val="595959" w:themeColor="text1" w:themeTint="A6"/>
          <w:lang w:val="es-ES"/>
        </w:rPr>
        <w:t>Quedarán exceptuados de esta posibilidad de sustitución aquellos medicamentos que, por razón de sus características de biodisponibilidad y estrecho rango terapéutico, determine el Ministerio de Sanidad y Consumo.</w:t>
      </w:r>
    </w:p>
    <w:p w14:paraId="42E1679E" w14:textId="77777777" w:rsidR="006E68E7" w:rsidRPr="00795BF2" w:rsidRDefault="006E68E7" w:rsidP="00602992">
      <w:pPr>
        <w:ind w:left="567" w:right="567"/>
        <w:rPr>
          <w:rFonts w:cs="Arial"/>
          <w:i/>
          <w:color w:val="595959" w:themeColor="text1" w:themeTint="A6"/>
          <w:lang w:val="es-ES"/>
        </w:rPr>
      </w:pPr>
    </w:p>
    <w:p w14:paraId="7F0C469A" w14:textId="729C478A" w:rsidR="006E68E7" w:rsidRPr="00795BF2" w:rsidRDefault="006E68E7" w:rsidP="00602992">
      <w:pPr>
        <w:numPr>
          <w:ilvl w:val="0"/>
          <w:numId w:val="32"/>
        </w:numPr>
        <w:ind w:left="567" w:right="567" w:firstLine="0"/>
        <w:rPr>
          <w:rFonts w:cs="Arial"/>
          <w:i/>
          <w:color w:val="595959" w:themeColor="text1" w:themeTint="A6"/>
          <w:lang w:val="es-ES"/>
        </w:rPr>
      </w:pPr>
      <w:r w:rsidRPr="00795BF2">
        <w:rPr>
          <w:rFonts w:cs="Arial"/>
          <w:i/>
          <w:color w:val="595959" w:themeColor="text1" w:themeTint="A6"/>
          <w:lang w:val="es-ES"/>
        </w:rPr>
        <w:t>Cuando la prescripción se realice por denominación comercial, si el medicamento prescrito tiene un precio superior al del precio más bajo de su agrupación homogénea el farmacéutico sustituirá el medicamento prescrito por éste y, en caso de igualdad, dispensará el medicamento genérico o el medicamento biosimilar correspondiente.”</w:t>
      </w:r>
    </w:p>
    <w:p w14:paraId="1C4EADD1" w14:textId="77777777" w:rsidR="0092507F" w:rsidRDefault="0092507F" w:rsidP="0092507F">
      <w:pPr>
        <w:ind w:left="0" w:right="425"/>
        <w:rPr>
          <w:rFonts w:cs="Arial"/>
          <w:i/>
          <w:lang w:val="es-ES"/>
        </w:rPr>
      </w:pPr>
    </w:p>
    <w:p w14:paraId="231D4770" w14:textId="77777777" w:rsidR="006412F5" w:rsidRDefault="006412F5" w:rsidP="0092507F">
      <w:pPr>
        <w:ind w:left="0" w:right="425"/>
        <w:rPr>
          <w:rFonts w:cs="Arial"/>
          <w:i/>
          <w:lang w:val="es-ES"/>
        </w:rPr>
      </w:pPr>
    </w:p>
    <w:p w14:paraId="116ED94F" w14:textId="7936246B" w:rsidR="0092507F" w:rsidRPr="0092507F" w:rsidRDefault="00275CEA" w:rsidP="0092507F">
      <w:pPr>
        <w:pStyle w:val="Ttulo2"/>
        <w:rPr>
          <w:lang w:val="es-ES"/>
        </w:rPr>
      </w:pPr>
      <w:bookmarkStart w:id="59" w:name="_Toc400525393"/>
      <w:r>
        <w:rPr>
          <w:lang w:val="es-ES"/>
        </w:rPr>
        <w:lastRenderedPageBreak/>
        <w:t>3.4</w:t>
      </w:r>
      <w:r w:rsidR="0092507F" w:rsidRPr="0092507F">
        <w:rPr>
          <w:lang w:val="es-ES"/>
        </w:rPr>
        <w:t>. Medicamentos biosimilares.</w:t>
      </w:r>
      <w:bookmarkEnd w:id="59"/>
    </w:p>
    <w:p w14:paraId="53A0E8D1" w14:textId="77777777" w:rsidR="006E68E7" w:rsidRDefault="006E68E7" w:rsidP="009E1422">
      <w:pPr>
        <w:ind w:left="0"/>
        <w:rPr>
          <w:rFonts w:cs="Arial"/>
          <w:lang w:val="es-ES"/>
        </w:rPr>
      </w:pPr>
    </w:p>
    <w:p w14:paraId="19AE4B65" w14:textId="77777777" w:rsidR="009230F9" w:rsidRPr="009230F9" w:rsidRDefault="009230F9" w:rsidP="00602992">
      <w:pPr>
        <w:ind w:left="0" w:firstLine="360"/>
        <w:rPr>
          <w:lang w:val="es-ES"/>
        </w:rPr>
      </w:pPr>
      <w:r w:rsidRPr="009230F9">
        <w:rPr>
          <w:lang w:val="es-ES"/>
        </w:rPr>
        <w:t>En la “G</w:t>
      </w:r>
      <w:r w:rsidRPr="009230F9">
        <w:rPr>
          <w:i/>
          <w:lang w:val="es-ES"/>
        </w:rPr>
        <w:t>uideline on similar biological medicinal products containing biotechnology-derived proteins as active substance: non-clinical and clinical issues</w:t>
      </w:r>
      <w:r w:rsidRPr="009230F9">
        <w:rPr>
          <w:lang w:val="es-ES"/>
        </w:rPr>
        <w:t>”, el máximo órgano regulador en esta materia a nivel comunitario, la Agencia Europea del Medicamento (EMA), da una definición de qué es un medicamento biosimilar (bautizados por esta misma agencia  como “</w:t>
      </w:r>
      <w:r w:rsidRPr="009230F9">
        <w:rPr>
          <w:i/>
          <w:lang w:val="es-ES"/>
        </w:rPr>
        <w:t>especialidad farmacéutica biológica similar</w:t>
      </w:r>
      <w:r w:rsidRPr="009230F9">
        <w:rPr>
          <w:lang w:val="es-ES"/>
        </w:rPr>
        <w:t>”):</w:t>
      </w:r>
    </w:p>
    <w:p w14:paraId="4E8F20DB" w14:textId="77777777" w:rsidR="009230F9" w:rsidRPr="009230F9" w:rsidRDefault="009230F9" w:rsidP="009230F9">
      <w:pPr>
        <w:rPr>
          <w:lang w:val="es-ES"/>
        </w:rPr>
      </w:pPr>
    </w:p>
    <w:p w14:paraId="218C215E" w14:textId="0D57EA9F" w:rsidR="009230F9" w:rsidRDefault="009230F9" w:rsidP="00275CEA">
      <w:pPr>
        <w:ind w:left="567" w:right="567"/>
        <w:rPr>
          <w:i/>
          <w:color w:val="595959" w:themeColor="text1" w:themeTint="A6"/>
          <w:lang w:val="es-ES"/>
        </w:rPr>
      </w:pPr>
      <w:r w:rsidRPr="009230F9">
        <w:rPr>
          <w:i/>
          <w:color w:val="595959" w:themeColor="text1" w:themeTint="A6"/>
          <w:lang w:val="es-ES"/>
        </w:rPr>
        <w:t xml:space="preserve">“Un  medicamento biosimilar es un producto medicinal biológico que contiene una versión de la sustancia activa de otro producto medicinal biológico que ha sido autorizado  previamente (producto medicinal de referencia). Un biosimilar demuestra similitud en términos de características cualitativas, actividad biológica, seguridad y eficacia basándose en un exhaustivo ejercicio de comparabilidad”. </w:t>
      </w:r>
    </w:p>
    <w:p w14:paraId="00D09874" w14:textId="77777777" w:rsidR="009230F9" w:rsidRPr="009230F9" w:rsidRDefault="009230F9" w:rsidP="009230F9">
      <w:pPr>
        <w:ind w:left="0"/>
        <w:rPr>
          <w:i/>
          <w:color w:val="595959" w:themeColor="text1" w:themeTint="A6"/>
          <w:lang w:val="es-ES"/>
        </w:rPr>
      </w:pPr>
    </w:p>
    <w:p w14:paraId="17E8E739" w14:textId="77777777" w:rsidR="009230F9" w:rsidRPr="009230F9" w:rsidRDefault="009230F9" w:rsidP="00602992">
      <w:pPr>
        <w:ind w:left="0" w:firstLine="360"/>
        <w:rPr>
          <w:lang w:val="es-ES"/>
        </w:rPr>
      </w:pPr>
      <w:r w:rsidRPr="009230F9">
        <w:rPr>
          <w:lang w:val="es-ES"/>
        </w:rPr>
        <w:t>En su guía de referencia en esta materia, la “</w:t>
      </w:r>
      <w:r w:rsidRPr="009230F9">
        <w:rPr>
          <w:i/>
          <w:lang w:val="es-ES"/>
        </w:rPr>
        <w:t>Guideline on Similar Biological Medicinal Products - CHMP/437/04</w:t>
      </w:r>
      <w:r w:rsidRPr="009230F9">
        <w:rPr>
          <w:lang w:val="es-ES"/>
        </w:rPr>
        <w:t>” también conocida como la “</w:t>
      </w:r>
      <w:r w:rsidRPr="009230F9">
        <w:rPr>
          <w:i/>
          <w:lang w:val="es-ES"/>
        </w:rPr>
        <w:t>Overarching</w:t>
      </w:r>
      <w:r w:rsidRPr="009230F9">
        <w:rPr>
          <w:lang w:val="es-ES"/>
        </w:rPr>
        <w:t xml:space="preserve"> </w:t>
      </w:r>
      <w:r w:rsidRPr="009230F9">
        <w:rPr>
          <w:i/>
          <w:lang w:val="es-ES"/>
        </w:rPr>
        <w:t>guide</w:t>
      </w:r>
      <w:r w:rsidRPr="009230F9">
        <w:rPr>
          <w:lang w:val="es-ES"/>
        </w:rPr>
        <w:t>”, la EMA hace una serie de aclaraciones:</w:t>
      </w:r>
    </w:p>
    <w:p w14:paraId="5CFB218A" w14:textId="77777777" w:rsidR="009230F9" w:rsidRPr="009230F9" w:rsidRDefault="009230F9" w:rsidP="009230F9">
      <w:pPr>
        <w:rPr>
          <w:lang w:val="es-ES"/>
        </w:rPr>
      </w:pPr>
    </w:p>
    <w:p w14:paraId="0680914F" w14:textId="77777777" w:rsidR="009230F9" w:rsidRDefault="009230F9" w:rsidP="00275CEA">
      <w:pPr>
        <w:ind w:left="567" w:right="567"/>
        <w:rPr>
          <w:lang w:val="es-ES"/>
        </w:rPr>
      </w:pPr>
      <w:r w:rsidRPr="009230F9">
        <w:rPr>
          <w:i/>
          <w:color w:val="595959" w:themeColor="text1" w:themeTint="A6"/>
          <w:lang w:val="es-ES"/>
        </w:rPr>
        <w:t>“En principio, el concepto de biosimilar es aplicable a cualquier medicamento biológico. Sin embargo, en la práctica, el éxito en desarrollar un biosimilar dependerá en la capacidad que se tenga en producir una copia cercana al producto medicinal de referencia y demostrar la naturaleza similar de los productos en cuestión. Esto incluye la caracterización fisicoquímica y biológica y requiere conocimiento de cómo interpretar las diferencias entre biosimilares y su producto medicinal de referencia. Por tanto:</w:t>
      </w:r>
      <w:r w:rsidRPr="009230F9">
        <w:rPr>
          <w:lang w:val="es-ES"/>
        </w:rPr>
        <w:t xml:space="preserve"> </w:t>
      </w:r>
    </w:p>
    <w:p w14:paraId="4AEEBCBD" w14:textId="77777777" w:rsidR="009230F9" w:rsidRDefault="009230F9" w:rsidP="00275CEA">
      <w:pPr>
        <w:ind w:left="567" w:right="567"/>
        <w:rPr>
          <w:lang w:val="es-ES"/>
        </w:rPr>
      </w:pPr>
    </w:p>
    <w:p w14:paraId="3919C996" w14:textId="0DFA8BE8" w:rsidR="009230F9" w:rsidRPr="00795BF2" w:rsidRDefault="009230F9" w:rsidP="00275CEA">
      <w:pPr>
        <w:ind w:left="567" w:right="567"/>
        <w:rPr>
          <w:lang w:val="es-ES"/>
        </w:rPr>
      </w:pPr>
      <w:r w:rsidRPr="009230F9">
        <w:rPr>
          <w:i/>
          <w:color w:val="595959" w:themeColor="text1" w:themeTint="A6"/>
          <w:lang w:val="es-ES"/>
        </w:rPr>
        <w:t>“El enfoque estándar usado en los genéricos (demostración de bioequivalencia con un producto medicinal de referencia mediante los estudios de biodisponibilidad oportunos) que es aplicable a la mayoría de los medicamentos de origen químico no es, en principio, apropiado para los medicamentos de origen bilógico/biotecnológico debido a la complejidad de éstos. El “enfoque biosimilar” basado en un exhaustivo ejercicio de comparabilidad tendrá, por tanto, que ser el seguido.</w:t>
      </w:r>
      <w:r w:rsidR="00275CEA">
        <w:rPr>
          <w:i/>
          <w:color w:val="595959" w:themeColor="text1" w:themeTint="A6"/>
          <w:lang w:val="es-ES"/>
        </w:rPr>
        <w:t>”</w:t>
      </w:r>
      <w:r w:rsidRPr="009230F9">
        <w:rPr>
          <w:i/>
          <w:color w:val="595959" w:themeColor="text1" w:themeTint="A6"/>
          <w:lang w:val="es-ES"/>
        </w:rPr>
        <w:t xml:space="preserve"> </w:t>
      </w:r>
    </w:p>
    <w:p w14:paraId="2D57524A" w14:textId="77777777" w:rsidR="009230F9" w:rsidRPr="009230F9" w:rsidRDefault="009230F9" w:rsidP="009230F9">
      <w:pPr>
        <w:rPr>
          <w:i/>
          <w:color w:val="595959" w:themeColor="text1" w:themeTint="A6"/>
          <w:lang w:val="es-ES"/>
        </w:rPr>
      </w:pPr>
    </w:p>
    <w:p w14:paraId="09FCAFB6" w14:textId="77777777" w:rsidR="009230F9" w:rsidRPr="009230F9" w:rsidRDefault="009230F9" w:rsidP="00602992">
      <w:pPr>
        <w:ind w:left="0" w:firstLine="360"/>
        <w:rPr>
          <w:lang w:val="es-ES"/>
        </w:rPr>
      </w:pPr>
      <w:r w:rsidRPr="009230F9">
        <w:rPr>
          <w:lang w:val="es-ES"/>
        </w:rPr>
        <w:t>También, en esta misma guía la EMA deja claras las diferencias entre medicamentos genéricos y biosimilares:</w:t>
      </w:r>
    </w:p>
    <w:p w14:paraId="3DED8FE4" w14:textId="77777777" w:rsidR="009230F9" w:rsidRPr="009230F9" w:rsidRDefault="009230F9" w:rsidP="009230F9">
      <w:pPr>
        <w:rPr>
          <w:i/>
          <w:color w:val="595959" w:themeColor="text1" w:themeTint="A6"/>
          <w:lang w:val="es-ES"/>
        </w:rPr>
      </w:pPr>
    </w:p>
    <w:p w14:paraId="5DB5EF33" w14:textId="77777777" w:rsidR="009230F9" w:rsidRPr="009230F9" w:rsidRDefault="009230F9" w:rsidP="00275CEA">
      <w:pPr>
        <w:ind w:left="567" w:right="567"/>
        <w:rPr>
          <w:i/>
          <w:color w:val="595959" w:themeColor="text1" w:themeTint="A6"/>
          <w:lang w:val="es-ES"/>
        </w:rPr>
      </w:pPr>
      <w:r w:rsidRPr="009230F9">
        <w:rPr>
          <w:i/>
          <w:color w:val="595959" w:themeColor="text1" w:themeTint="A6"/>
          <w:lang w:val="es-ES"/>
        </w:rPr>
        <w:t>“Se debe reconocer que, por definición, los medicamentos biológicos similares no son medicamentos genéricos, dado que es posible que hayan sutiles diferencias entre los medicamentos biológicos de diferentes fabricantes o en comparación con los medicamentos de referencia, las cuales pueden no apreciarse en su totalidad hasta que se haya establecido una mayor experiencia en su uso. Por consiguiente, con el fin de apoyar las actividades de farmacovigilancia, el medicamentos específico administrado al paciente debe estar claramente identificado…”</w:t>
      </w:r>
    </w:p>
    <w:p w14:paraId="27A65B69" w14:textId="77777777" w:rsidR="009230F9" w:rsidRPr="009230F9" w:rsidRDefault="009230F9" w:rsidP="009230F9">
      <w:pPr>
        <w:rPr>
          <w:i/>
          <w:color w:val="595959" w:themeColor="text1" w:themeTint="A6"/>
          <w:lang w:val="es-ES"/>
        </w:rPr>
      </w:pPr>
    </w:p>
    <w:p w14:paraId="340D837E" w14:textId="77777777" w:rsidR="009230F9" w:rsidRPr="009230F9" w:rsidRDefault="009230F9" w:rsidP="00602992">
      <w:pPr>
        <w:ind w:left="0" w:firstLine="360"/>
        <w:rPr>
          <w:lang w:val="es-ES"/>
        </w:rPr>
      </w:pPr>
      <w:r w:rsidRPr="009230F9">
        <w:rPr>
          <w:lang w:val="es-ES"/>
        </w:rPr>
        <w:t>Por tanto, la misma Agencia Europea del Medicamento, deja claro que a un biosimilar no se le puede exigir que sea idéntico al medicamento de referencia que intenta “copiar” porque este tipo de fármacos, debido a sus peculiares características que ya hemos analizado, varían de forma sustancial dependiendo del proceso de fabricación y al material genético utilizado.</w:t>
      </w:r>
    </w:p>
    <w:p w14:paraId="057A4308" w14:textId="77777777" w:rsidR="009230F9" w:rsidRPr="009230F9" w:rsidRDefault="009230F9" w:rsidP="009230F9">
      <w:pPr>
        <w:rPr>
          <w:lang w:val="es-ES"/>
        </w:rPr>
      </w:pPr>
    </w:p>
    <w:p w14:paraId="58177D85" w14:textId="77777777" w:rsidR="00A751CD" w:rsidRDefault="009230F9" w:rsidP="00A751CD">
      <w:pPr>
        <w:keepNext/>
        <w:ind w:left="0"/>
        <w:jc w:val="center"/>
      </w:pPr>
      <w:r>
        <w:rPr>
          <w:noProof/>
          <w:lang w:val="es-ES" w:eastAsia="es-ES"/>
        </w:rPr>
        <w:lastRenderedPageBreak/>
        <w:drawing>
          <wp:inline distT="0" distB="0" distL="0" distR="0" wp14:anchorId="0CCA49E4" wp14:editId="03402B24">
            <wp:extent cx="5384800" cy="1696064"/>
            <wp:effectExtent l="38100" t="38100" r="44450" b="381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33).png"/>
                    <pic:cNvPicPr/>
                  </pic:nvPicPr>
                  <pic:blipFill rotWithShape="1">
                    <a:blip r:embed="rId21" cstate="print">
                      <a:extLst>
                        <a:ext uri="{BEBA8EAE-BF5A-486C-A8C5-ECC9F3942E4B}">
                          <a14:imgProps xmlns:a14="http://schemas.microsoft.com/office/drawing/2010/main">
                            <a14:imgLayer r:embed="rId22">
                              <a14:imgEffect>
                                <a14:colorTemperature colorTemp="4700"/>
                              </a14:imgEffect>
                            </a14:imgLayer>
                          </a14:imgProps>
                        </a:ext>
                        <a:ext uri="{28A0092B-C50C-407E-A947-70E740481C1C}">
                          <a14:useLocalDpi xmlns:a14="http://schemas.microsoft.com/office/drawing/2010/main" val="0"/>
                        </a:ext>
                      </a:extLst>
                    </a:blip>
                    <a:srcRect l="3894" t="12091" r="4702" b="21483"/>
                    <a:stretch/>
                  </pic:blipFill>
                  <pic:spPr bwMode="auto">
                    <a:xfrm>
                      <a:off x="0" y="0"/>
                      <a:ext cx="5424488" cy="1708565"/>
                    </a:xfrm>
                    <a:prstGeom prst="rect">
                      <a:avLst/>
                    </a:prstGeom>
                    <a:ln w="38100" cap="flat" cmpd="sng" algn="ctr">
                      <a:solidFill>
                        <a:srgbClr val="1CADE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6A3D9B" w14:textId="7C56DBA3" w:rsidR="009230F9" w:rsidRPr="00A751CD" w:rsidRDefault="00A751CD" w:rsidP="00A751CD">
      <w:pPr>
        <w:pStyle w:val="Descripcin"/>
        <w:jc w:val="center"/>
        <w:rPr>
          <w:lang w:val="es-ES"/>
        </w:rPr>
      </w:pPr>
      <w:bookmarkStart w:id="60" w:name="_Toc400008713"/>
      <w:bookmarkStart w:id="61" w:name="_Toc400525285"/>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10</w:t>
      </w:r>
      <w:r>
        <w:fldChar w:fldCharType="end"/>
      </w:r>
      <w:r w:rsidRPr="00A751CD">
        <w:rPr>
          <w:lang w:val="es-ES"/>
        </w:rPr>
        <w:t xml:space="preserve"> - Cronograma del desarrollo de un medicamento biosimilar.</w:t>
      </w:r>
      <w:bookmarkEnd w:id="60"/>
      <w:bookmarkEnd w:id="61"/>
    </w:p>
    <w:p w14:paraId="07B58E87" w14:textId="77777777" w:rsidR="009E1422" w:rsidRDefault="009E1422" w:rsidP="009230F9">
      <w:pPr>
        <w:ind w:left="0"/>
        <w:rPr>
          <w:rFonts w:cs="Arial"/>
          <w:lang w:val="es-ES"/>
        </w:rPr>
      </w:pPr>
    </w:p>
    <w:p w14:paraId="03612029" w14:textId="41ED7D2B" w:rsidR="009230F9" w:rsidRDefault="009230F9" w:rsidP="00602992">
      <w:pPr>
        <w:ind w:left="0" w:firstLine="360"/>
        <w:rPr>
          <w:lang w:val="es-ES"/>
        </w:rPr>
      </w:pPr>
      <w:r w:rsidRPr="009230F9">
        <w:rPr>
          <w:lang w:val="es-ES"/>
        </w:rPr>
        <w:t>Para obtener la aprobación por parte de la EMA, los medicamentos biosimilares deben demostrar que son tan seguros y eficaces como el producto original de referencia. Se evalúa la similitud y comparabilidad de los medicamentos biosimilares con el producto de referencia. Esta evaluación se personaliza, adaptándola a cada medicamento biosimilar concreto y al principio activo que contiene, junto con los métodos utilizados para el desarrollo y uso clínico del producto. Un aspecto clave que deberá considerarse es la variación de la potencia y pureza del producto, que debería hallarse dentro de los límites mostrados por el producto de referencia.</w:t>
      </w:r>
    </w:p>
    <w:p w14:paraId="191DBB04" w14:textId="77777777" w:rsidR="0050693B" w:rsidRPr="009230F9" w:rsidRDefault="0050693B" w:rsidP="009230F9">
      <w:pPr>
        <w:ind w:left="0"/>
        <w:rPr>
          <w:lang w:val="es-ES"/>
        </w:rPr>
      </w:pPr>
    </w:p>
    <w:p w14:paraId="26E76F9B" w14:textId="12CC1F31" w:rsidR="009E1422" w:rsidRPr="00A751CD" w:rsidRDefault="00A751CD" w:rsidP="00602992">
      <w:pPr>
        <w:ind w:left="0" w:firstLine="360"/>
        <w:rPr>
          <w:lang w:val="es-ES"/>
        </w:rPr>
      </w:pPr>
      <w:r>
        <w:rPr>
          <w:noProof/>
          <w:lang w:val="es-ES" w:eastAsia="es-ES"/>
        </w:rPr>
        <mc:AlternateContent>
          <mc:Choice Requires="wps">
            <w:drawing>
              <wp:anchor distT="0" distB="0" distL="114300" distR="114300" simplePos="0" relativeHeight="251659776" behindDoc="1" locked="0" layoutInCell="1" allowOverlap="1" wp14:anchorId="263A9CA5" wp14:editId="03D19056">
                <wp:simplePos x="0" y="0"/>
                <wp:positionH relativeFrom="column">
                  <wp:posOffset>0</wp:posOffset>
                </wp:positionH>
                <wp:positionV relativeFrom="paragraph">
                  <wp:posOffset>3252470</wp:posOffset>
                </wp:positionV>
                <wp:extent cx="5370195" cy="635"/>
                <wp:effectExtent l="0" t="0" r="0" b="0"/>
                <wp:wrapTight wrapText="bothSides">
                  <wp:wrapPolygon edited="0">
                    <wp:start x="0" y="0"/>
                    <wp:lineTo x="0" y="21600"/>
                    <wp:lineTo x="21600" y="21600"/>
                    <wp:lineTo x="21600" y="0"/>
                  </wp:wrapPolygon>
                </wp:wrapTight>
                <wp:docPr id="29" name="Cuadro de texto 29"/>
                <wp:cNvGraphicFramePr/>
                <a:graphic xmlns:a="http://schemas.openxmlformats.org/drawingml/2006/main">
                  <a:graphicData uri="http://schemas.microsoft.com/office/word/2010/wordprocessingShape">
                    <wps:wsp>
                      <wps:cNvSpPr txBox="1"/>
                      <wps:spPr>
                        <a:xfrm>
                          <a:off x="0" y="0"/>
                          <a:ext cx="5370195" cy="635"/>
                        </a:xfrm>
                        <a:prstGeom prst="rect">
                          <a:avLst/>
                        </a:prstGeom>
                        <a:solidFill>
                          <a:prstClr val="white"/>
                        </a:solidFill>
                        <a:ln>
                          <a:noFill/>
                        </a:ln>
                        <a:effectLst/>
                      </wps:spPr>
                      <wps:txbx>
                        <w:txbxContent>
                          <w:p w14:paraId="7B57E771" w14:textId="1891635F" w:rsidR="00A5627F" w:rsidRDefault="00A5627F" w:rsidP="00A751CD">
                            <w:pPr>
                              <w:pStyle w:val="Descripcin"/>
                              <w:jc w:val="center"/>
                              <w:rPr>
                                <w:lang w:val="es-ES"/>
                              </w:rPr>
                            </w:pPr>
                            <w:bookmarkStart w:id="62" w:name="_Toc400008714"/>
                            <w:bookmarkStart w:id="63" w:name="_Toc400525286"/>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11</w:t>
                            </w:r>
                            <w:r>
                              <w:fldChar w:fldCharType="end"/>
                            </w:r>
                            <w:r w:rsidRPr="00A751CD">
                              <w:rPr>
                                <w:lang w:val="es-ES"/>
                              </w:rPr>
                              <w:t xml:space="preserve"> - Comparativa de complejidad entre los distintos </w:t>
                            </w:r>
                            <w:r>
                              <w:rPr>
                                <w:lang w:val="es-ES"/>
                              </w:rPr>
                              <w:t>tipos de fármacos.</w:t>
                            </w:r>
                            <w:bookmarkEnd w:id="62"/>
                            <w:bookmarkEnd w:id="63"/>
                          </w:p>
                          <w:p w14:paraId="1C456F3D" w14:textId="7656DB99" w:rsidR="00A5627F" w:rsidRPr="00927910" w:rsidRDefault="00A5627F" w:rsidP="00A751CD">
                            <w:pPr>
                              <w:pStyle w:val="Descripcin"/>
                              <w:jc w:val="center"/>
                              <w:rPr>
                                <w:noProof/>
                              </w:rPr>
                            </w:pPr>
                            <w:r>
                              <w:t>Fuente: Instituto Roche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3A9CA5" id="Cuadro de texto 29" o:spid="_x0000_s1037" type="#_x0000_t202" style="position:absolute;left:0;text-align:left;margin-left:0;margin-top:256.1pt;width:422.85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" stroked="f">
                <v:textbox style="mso-fit-shape-to-text:t" inset="0,0,0,0">
                  <w:txbxContent>
                    <w:p w14:paraId="7B57E771" w14:textId="1891635F" w:rsidR="00A5627F" w:rsidRDefault="00A5627F" w:rsidP="00A751CD">
                      <w:pPr>
                        <w:pStyle w:val="Descripcin"/>
                        <w:jc w:val="center"/>
                        <w:rPr>
                          <w:lang w:val="es-ES"/>
                        </w:rPr>
                      </w:pPr>
                      <w:bookmarkStart w:id="64" w:name="_Toc400008714"/>
                      <w:bookmarkStart w:id="65" w:name="_Toc400525286"/>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11</w:t>
                      </w:r>
                      <w:r>
                        <w:fldChar w:fldCharType="end"/>
                      </w:r>
                      <w:r w:rsidRPr="00A751CD">
                        <w:rPr>
                          <w:lang w:val="es-ES"/>
                        </w:rPr>
                        <w:t xml:space="preserve"> - Comparativa de complejidad entre los distintos </w:t>
                      </w:r>
                      <w:r>
                        <w:rPr>
                          <w:lang w:val="es-ES"/>
                        </w:rPr>
                        <w:t>tipos de fármacos.</w:t>
                      </w:r>
                      <w:bookmarkEnd w:id="64"/>
                      <w:bookmarkEnd w:id="65"/>
                    </w:p>
                    <w:p w14:paraId="1C456F3D" w14:textId="7656DB99" w:rsidR="00A5627F" w:rsidRPr="00927910" w:rsidRDefault="00A5627F" w:rsidP="00A751CD">
                      <w:pPr>
                        <w:pStyle w:val="Descripcin"/>
                        <w:jc w:val="center"/>
                        <w:rPr>
                          <w:noProof/>
                        </w:rPr>
                      </w:pPr>
                      <w:r>
                        <w:t>Fuente: Instituto Roche</w:t>
                      </w:r>
                    </w:p>
                  </w:txbxContent>
                </v:textbox>
                <w10:wrap type="tight"/>
              </v:shape>
            </w:pict>
          </mc:Fallback>
        </mc:AlternateContent>
      </w:r>
      <w:r w:rsidR="009230F9">
        <w:rPr>
          <w:noProof/>
          <w:lang w:val="es-ES" w:eastAsia="es-ES"/>
        </w:rPr>
        <w:drawing>
          <wp:anchor distT="0" distB="0" distL="114300" distR="114300" simplePos="0" relativeHeight="251632128" behindDoc="1" locked="0" layoutInCell="1" allowOverlap="1" wp14:anchorId="78786B18" wp14:editId="57F3D801">
            <wp:simplePos x="0" y="0"/>
            <wp:positionH relativeFrom="margin">
              <wp:align>left</wp:align>
            </wp:positionH>
            <wp:positionV relativeFrom="paragraph">
              <wp:posOffset>621010</wp:posOffset>
            </wp:positionV>
            <wp:extent cx="5370195" cy="2575035"/>
            <wp:effectExtent l="0" t="0" r="1905" b="0"/>
            <wp:wrapTight wrapText="bothSides">
              <wp:wrapPolygon edited="0">
                <wp:start x="0" y="0"/>
                <wp:lineTo x="0" y="21414"/>
                <wp:lineTo x="21531" y="21414"/>
                <wp:lineTo x="2153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1).png"/>
                    <pic:cNvPicPr/>
                  </pic:nvPicPr>
                  <pic:blipFill rotWithShape="1">
                    <a:blip r:embed="rId23" cstate="print">
                      <a:extLst>
                        <a:ext uri="{28A0092B-C50C-407E-A947-70E740481C1C}">
                          <a14:useLocalDpi xmlns:a14="http://schemas.microsoft.com/office/drawing/2010/main" val="0"/>
                        </a:ext>
                      </a:extLst>
                    </a:blip>
                    <a:srcRect l="17599" t="18874" r="16274" b="9028"/>
                    <a:stretch/>
                  </pic:blipFill>
                  <pic:spPr bwMode="auto">
                    <a:xfrm>
                      <a:off x="0" y="0"/>
                      <a:ext cx="5370195" cy="257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0F9" w:rsidRPr="009230F9">
        <w:rPr>
          <w:lang w:val="es-ES"/>
        </w:rPr>
        <w:t xml:space="preserve">En conclusión, un biosimilar es a un medicamento biológico lo que un genérico es a un medicamento químico. Esto no quiere decir que genéricos y biosimilares sean la misma cosa y por tanto han de ser considerados </w:t>
      </w:r>
      <w:r>
        <w:rPr>
          <w:lang w:val="es-ES"/>
        </w:rPr>
        <w:t>y regulados de formas distintas.</w:t>
      </w:r>
    </w:p>
    <w:p w14:paraId="6E4750CB" w14:textId="4E02B0F7" w:rsidR="009E1422" w:rsidRDefault="00275CEA" w:rsidP="009230F9">
      <w:pPr>
        <w:ind w:left="0"/>
        <w:rPr>
          <w:rFonts w:cs="Arial"/>
          <w:lang w:val="es-ES"/>
        </w:rPr>
      </w:pPr>
      <w:r>
        <w:rPr>
          <w:rFonts w:cs="Arial"/>
          <w:lang w:val="es-ES"/>
        </w:rPr>
        <w:br w:type="page"/>
      </w:r>
    </w:p>
    <w:p w14:paraId="4651AF55" w14:textId="64804728" w:rsidR="009230F9" w:rsidRPr="009230F9" w:rsidRDefault="009230F9" w:rsidP="009230F9">
      <w:pPr>
        <w:pStyle w:val="Etiquetadefilas"/>
        <w:numPr>
          <w:ilvl w:val="0"/>
          <w:numId w:val="15"/>
        </w:numPr>
        <w:spacing w:before="0"/>
        <w:ind w:left="567" w:hanging="567"/>
        <w:rPr>
          <w:rFonts w:ascii="Arial" w:hAnsi="Arial" w:cs="Arial"/>
          <w:color w:val="FF0000"/>
          <w:szCs w:val="22"/>
        </w:rPr>
      </w:pPr>
      <w:bookmarkStart w:id="66" w:name="_Toc400525394"/>
      <w:r w:rsidRPr="009230F9">
        <w:rPr>
          <w:rFonts w:ascii="Arial" w:hAnsi="Arial" w:cs="Arial"/>
          <w:color w:val="FF0000"/>
          <w:szCs w:val="22"/>
        </w:rPr>
        <w:lastRenderedPageBreak/>
        <w:t>“PATENT CLIFF”</w:t>
      </w:r>
      <w:bookmarkEnd w:id="66"/>
    </w:p>
    <w:p w14:paraId="5AF0F844" w14:textId="77777777" w:rsidR="006C5F0D" w:rsidRPr="006C5F0D" w:rsidRDefault="006C5F0D" w:rsidP="006C5F0D">
      <w:pPr>
        <w:ind w:left="0"/>
        <w:rPr>
          <w:rFonts w:cs="Arial"/>
          <w:lang w:val="es-ES"/>
        </w:rPr>
      </w:pPr>
    </w:p>
    <w:p w14:paraId="4EA2CC7F" w14:textId="77777777" w:rsidR="00A751CD" w:rsidRDefault="006C5F0D" w:rsidP="00A751CD">
      <w:pPr>
        <w:keepNext/>
        <w:ind w:left="0"/>
      </w:pPr>
      <w:r w:rsidRPr="006C5F0D">
        <w:rPr>
          <w:rFonts w:cs="Arial"/>
          <w:noProof/>
          <w:lang w:val="es-ES" w:eastAsia="es-ES"/>
        </w:rPr>
        <w:drawing>
          <wp:inline distT="0" distB="0" distL="0" distR="0" wp14:anchorId="313F4EF7" wp14:editId="64C537FD">
            <wp:extent cx="5400040" cy="2571750"/>
            <wp:effectExtent l="38100" t="38100" r="29210" b="381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2012-great-patent-cliff_5051e8a4335b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2571750"/>
                    </a:xfrm>
                    <a:prstGeom prst="rect">
                      <a:avLst/>
                    </a:prstGeom>
                    <a:ln w="28575">
                      <a:solidFill>
                        <a:schemeClr val="accent1"/>
                      </a:solidFill>
                    </a:ln>
                  </pic:spPr>
                </pic:pic>
              </a:graphicData>
            </a:graphic>
          </wp:inline>
        </w:drawing>
      </w:r>
    </w:p>
    <w:p w14:paraId="69713DD0" w14:textId="59A2B905" w:rsidR="006C5F0D" w:rsidRPr="006C5F0D" w:rsidRDefault="00A751CD" w:rsidP="00A751CD">
      <w:pPr>
        <w:pStyle w:val="Descripcin"/>
        <w:jc w:val="center"/>
        <w:rPr>
          <w:rFonts w:cs="Arial"/>
          <w:lang w:val="es-ES"/>
        </w:rPr>
      </w:pPr>
      <w:bookmarkStart w:id="67" w:name="_Toc400008715"/>
      <w:bookmarkStart w:id="68" w:name="_Toc400525287"/>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12</w:t>
      </w:r>
      <w:r>
        <w:fldChar w:fldCharType="end"/>
      </w:r>
      <w:r w:rsidRPr="00A751CD">
        <w:rPr>
          <w:lang w:val="es-ES"/>
        </w:rPr>
        <w:t xml:space="preserve"> - Infografía sobre el patent cliff</w:t>
      </w:r>
      <w:bookmarkEnd w:id="67"/>
      <w:r w:rsidR="00C26B46">
        <w:rPr>
          <w:lang w:val="es-ES"/>
        </w:rPr>
        <w:t xml:space="preserve"> en EEUU</w:t>
      </w:r>
      <w:bookmarkEnd w:id="68"/>
    </w:p>
    <w:p w14:paraId="359F364C" w14:textId="77777777" w:rsidR="006C5F0D" w:rsidRDefault="006C5F0D" w:rsidP="006C5F0D">
      <w:pPr>
        <w:ind w:left="0"/>
        <w:rPr>
          <w:rFonts w:cs="Arial"/>
          <w:lang w:val="es-ES"/>
        </w:rPr>
      </w:pPr>
    </w:p>
    <w:p w14:paraId="385D5118" w14:textId="307CD1F5" w:rsidR="006C5F0D" w:rsidRDefault="006C5F0D" w:rsidP="00B83CF2">
      <w:pPr>
        <w:ind w:left="0" w:firstLine="360"/>
        <w:rPr>
          <w:rFonts w:cs="Arial"/>
          <w:lang w:val="es-ES"/>
        </w:rPr>
      </w:pPr>
      <w:r w:rsidRPr="006C5F0D">
        <w:rPr>
          <w:rFonts w:cs="Arial"/>
          <w:lang w:val="es-ES"/>
        </w:rPr>
        <w:t xml:space="preserve">El anglicismo </w:t>
      </w:r>
      <w:r w:rsidRPr="006C5F0D">
        <w:rPr>
          <w:rFonts w:cs="Arial"/>
          <w:i/>
          <w:lang w:val="es-ES"/>
        </w:rPr>
        <w:t xml:space="preserve">“Patent Cliff”, </w:t>
      </w:r>
      <w:r w:rsidRPr="00E512E3">
        <w:rPr>
          <w:rFonts w:cs="Arial"/>
          <w:lang w:val="es-ES"/>
        </w:rPr>
        <w:t>que podríamos traducir</w:t>
      </w:r>
      <w:r w:rsidR="00E512E3" w:rsidRPr="00E512E3">
        <w:rPr>
          <w:rFonts w:cs="Arial"/>
          <w:lang w:val="es-ES"/>
        </w:rPr>
        <w:t>, de una manera muy literal,</w:t>
      </w:r>
      <w:r w:rsidRPr="00E512E3">
        <w:rPr>
          <w:rFonts w:cs="Arial"/>
          <w:lang w:val="es-ES"/>
        </w:rPr>
        <w:t xml:space="preserve"> como</w:t>
      </w:r>
      <w:r w:rsidRPr="006C5F0D">
        <w:rPr>
          <w:rFonts w:cs="Arial"/>
          <w:i/>
          <w:lang w:val="es-ES"/>
        </w:rPr>
        <w:t xml:space="preserve"> “Acantilado de Patentes”, </w:t>
      </w:r>
      <w:r w:rsidRPr="006C5F0D">
        <w:rPr>
          <w:rFonts w:cs="Arial"/>
          <w:lang w:val="es-ES"/>
        </w:rPr>
        <w:t>se usa para referirse a la caída abrupta de ventas que tiene un “</w:t>
      </w:r>
      <w:r w:rsidRPr="006C5F0D">
        <w:rPr>
          <w:rFonts w:cs="Arial"/>
          <w:i/>
          <w:lang w:val="es-ES"/>
        </w:rPr>
        <w:t xml:space="preserve">blockbuster” una vez que ha finalizado el periodo de protección otorgado por la patente o patentes </w:t>
      </w:r>
      <w:r w:rsidRPr="006C5F0D">
        <w:rPr>
          <w:rFonts w:cs="Arial"/>
          <w:lang w:val="es-ES"/>
        </w:rPr>
        <w:t xml:space="preserve">que tuviese el producto. En el sector farmacéutico se usa el término </w:t>
      </w:r>
      <w:r w:rsidRPr="006C5F0D">
        <w:rPr>
          <w:rFonts w:cs="Arial"/>
          <w:i/>
          <w:lang w:val="es-ES"/>
        </w:rPr>
        <w:t xml:space="preserve">“blockbuster” </w:t>
      </w:r>
      <w:r w:rsidRPr="006C5F0D">
        <w:rPr>
          <w:rFonts w:cs="Arial"/>
          <w:lang w:val="es-ES"/>
        </w:rPr>
        <w:t>para referirse a un medicamento que tiene unas ventas anuales superiores a 1.000 millones de dólares. Arriba mostramos una infografía de los 8 fármacos (químicos y bilógicos) con mayores ventas que debían perder sus derechos de patente en 2012 (como veremos no todos la sufrieron) y los datos asociados más relevantes que este hecho produjo.</w:t>
      </w:r>
    </w:p>
    <w:p w14:paraId="37F2CE43" w14:textId="573D5DB0" w:rsidR="006C5F0D" w:rsidRPr="006C5F0D" w:rsidRDefault="006C5F0D" w:rsidP="006C5F0D">
      <w:pPr>
        <w:ind w:left="0"/>
        <w:rPr>
          <w:rFonts w:cs="Arial"/>
          <w:lang w:val="es-ES"/>
        </w:rPr>
      </w:pPr>
    </w:p>
    <w:p w14:paraId="4629A97E" w14:textId="395D5062" w:rsidR="006C5F0D" w:rsidRDefault="00A751CD" w:rsidP="00B83CF2">
      <w:pPr>
        <w:ind w:left="0" w:firstLine="360"/>
        <w:rPr>
          <w:rFonts w:cs="Arial"/>
          <w:lang w:val="es-ES"/>
        </w:rPr>
      </w:pPr>
      <w:r>
        <w:rPr>
          <w:noProof/>
          <w:lang w:val="es-ES" w:eastAsia="es-ES"/>
        </w:rPr>
        <mc:AlternateContent>
          <mc:Choice Requires="wps">
            <w:drawing>
              <wp:anchor distT="0" distB="0" distL="114300" distR="114300" simplePos="0" relativeHeight="251663872" behindDoc="0" locked="0" layoutInCell="1" allowOverlap="1" wp14:anchorId="4C39167F" wp14:editId="026E18D5">
                <wp:simplePos x="0" y="0"/>
                <wp:positionH relativeFrom="column">
                  <wp:posOffset>34925</wp:posOffset>
                </wp:positionH>
                <wp:positionV relativeFrom="paragraph">
                  <wp:posOffset>3514725</wp:posOffset>
                </wp:positionV>
                <wp:extent cx="3193415" cy="635"/>
                <wp:effectExtent l="0" t="0" r="0" b="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3193415" cy="635"/>
                        </a:xfrm>
                        <a:prstGeom prst="rect">
                          <a:avLst/>
                        </a:prstGeom>
                        <a:solidFill>
                          <a:prstClr val="white"/>
                        </a:solidFill>
                        <a:ln>
                          <a:noFill/>
                        </a:ln>
                        <a:effectLst/>
                      </wps:spPr>
                      <wps:txbx>
                        <w:txbxContent>
                          <w:p w14:paraId="3486F247" w14:textId="6F4F5ADA" w:rsidR="00A5627F" w:rsidRPr="00A751CD" w:rsidRDefault="00A5627F" w:rsidP="00A751CD">
                            <w:pPr>
                              <w:pStyle w:val="Descripcin"/>
                              <w:jc w:val="center"/>
                              <w:rPr>
                                <w:rFonts w:cs="Arial"/>
                                <w:lang w:val="es-ES"/>
                              </w:rPr>
                            </w:pPr>
                            <w:bookmarkStart w:id="69" w:name="_Toc400008716"/>
                            <w:bookmarkStart w:id="70" w:name="_Toc400525288"/>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13</w:t>
                            </w:r>
                            <w:r>
                              <w:fldChar w:fldCharType="end"/>
                            </w:r>
                            <w:r w:rsidRPr="00A751CD">
                              <w:rPr>
                                <w:lang w:val="es-ES"/>
                              </w:rPr>
                              <w:t xml:space="preserve"> - Comparativa de diferentes tipos de fármacos que han perdido o perderán sus patentes en los próximos años en EEUU y Europa.</w:t>
                            </w:r>
                            <w:bookmarkEnd w:id="69"/>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9167F" id="Cuadro de texto 30" o:spid="_x0000_s1038" type="#_x0000_t202" style="position:absolute;left:0;text-align:left;margin-left:2.75pt;margin-top:276.75pt;width:251.4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" stroked="f">
                <v:textbox style="mso-fit-shape-to-text:t" inset="0,0,0,0">
                  <w:txbxContent>
                    <w:p w14:paraId="3486F247" w14:textId="6F4F5ADA" w:rsidR="00A5627F" w:rsidRPr="00A751CD" w:rsidRDefault="00A5627F" w:rsidP="00A751CD">
                      <w:pPr>
                        <w:pStyle w:val="Descripcin"/>
                        <w:jc w:val="center"/>
                        <w:rPr>
                          <w:rFonts w:cs="Arial"/>
                          <w:lang w:val="es-ES"/>
                        </w:rPr>
                      </w:pPr>
                      <w:bookmarkStart w:id="71" w:name="_Toc400008716"/>
                      <w:bookmarkStart w:id="72" w:name="_Toc400525288"/>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13</w:t>
                      </w:r>
                      <w:r>
                        <w:fldChar w:fldCharType="end"/>
                      </w:r>
                      <w:r w:rsidRPr="00A751CD">
                        <w:rPr>
                          <w:lang w:val="es-ES"/>
                        </w:rPr>
                        <w:t xml:space="preserve"> - Comparativa de diferentes tipos de fármacos que han perdido o perderán sus patentes en los próximos años en EEUU y Europa.</w:t>
                      </w:r>
                      <w:bookmarkEnd w:id="71"/>
                      <w:bookmarkEnd w:id="72"/>
                    </w:p>
                  </w:txbxContent>
                </v:textbox>
                <w10:wrap type="square"/>
              </v:shape>
            </w:pict>
          </mc:Fallback>
        </mc:AlternateContent>
      </w:r>
      <w:r w:rsidRPr="006C5F0D">
        <w:rPr>
          <w:rFonts w:cs="Arial"/>
          <w:noProof/>
          <w:lang w:val="es-ES" w:eastAsia="es-ES"/>
        </w:rPr>
        <w:drawing>
          <wp:anchor distT="0" distB="0" distL="114300" distR="114300" simplePos="0" relativeHeight="251636224" behindDoc="1" locked="0" layoutInCell="1" allowOverlap="1" wp14:anchorId="7A3DC969" wp14:editId="0BCCC51D">
            <wp:simplePos x="0" y="0"/>
            <wp:positionH relativeFrom="margin">
              <wp:posOffset>34925</wp:posOffset>
            </wp:positionH>
            <wp:positionV relativeFrom="paragraph">
              <wp:posOffset>49530</wp:posOffset>
            </wp:positionV>
            <wp:extent cx="3193415" cy="3408045"/>
            <wp:effectExtent l="38100" t="38100" r="45085" b="40005"/>
            <wp:wrapSquare wrapText="bothSides"/>
            <wp:docPr id="448" name="Imagen 448" descr="http://www.gabionline.net/var/gabi/storage/images/media/images/gw-1058f-figure-1/14641-9-eng-GB/GW-1058F-figure-1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bionline.net/var/gabi/storage/images/media/images/gw-1058f-figure-1/14641-9-eng-GB/GW-1058F-figure-1_referenc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3415" cy="3408045"/>
                    </a:xfrm>
                    <a:prstGeom prst="rect">
                      <a:avLst/>
                    </a:prstGeom>
                    <a:noFill/>
                    <a:ln w="28575">
                      <a:solidFill>
                        <a:srgbClr val="00B0F0"/>
                      </a:solidFill>
                    </a:ln>
                  </pic:spPr>
                </pic:pic>
              </a:graphicData>
            </a:graphic>
            <wp14:sizeRelH relativeFrom="margin">
              <wp14:pctWidth>0</wp14:pctWidth>
            </wp14:sizeRelH>
            <wp14:sizeRelV relativeFrom="margin">
              <wp14:pctHeight>0</wp14:pctHeight>
            </wp14:sizeRelV>
          </wp:anchor>
        </w:drawing>
      </w:r>
      <w:r w:rsidR="00B83CF2">
        <w:rPr>
          <w:rFonts w:cs="Arial"/>
          <w:lang w:val="es-ES"/>
        </w:rPr>
        <w:t>El gráfico</w:t>
      </w:r>
      <w:r w:rsidR="006C5F0D" w:rsidRPr="006C5F0D">
        <w:rPr>
          <w:rFonts w:cs="Arial"/>
          <w:lang w:val="es-ES"/>
        </w:rPr>
        <w:t xml:space="preserve"> de la izquierda se publicó en la web especializada en genéricos y biosimilares </w:t>
      </w:r>
      <w:r w:rsidR="006C5F0D" w:rsidRPr="006C5F0D">
        <w:rPr>
          <w:rFonts w:cs="Arial"/>
          <w:i/>
          <w:lang w:val="es-ES"/>
        </w:rPr>
        <w:t>Gabionline.net</w:t>
      </w:r>
      <w:r w:rsidR="006C5F0D" w:rsidRPr="006C5F0D">
        <w:rPr>
          <w:rFonts w:cs="Arial"/>
          <w:lang w:val="es-ES"/>
        </w:rPr>
        <w:t>, en ella se muestran los principales medicamentos biológicos que han perdido o van a perder en los próximos años sus derechos de propiedad intelectual en Estados Unidos (negro) y en la Unión Europea. Podemos ver</w:t>
      </w:r>
      <w:r w:rsidR="00590AAF">
        <w:rPr>
          <w:rFonts w:cs="Arial"/>
          <w:lang w:val="es-ES"/>
        </w:rPr>
        <w:t xml:space="preserve"> que, sobre todo en Europa, nos </w:t>
      </w:r>
      <w:r w:rsidR="006C5F0D" w:rsidRPr="006C5F0D">
        <w:rPr>
          <w:rFonts w:cs="Arial"/>
          <w:lang w:val="es-ES"/>
        </w:rPr>
        <w:t xml:space="preserve">acercamos irremediablemente al </w:t>
      </w:r>
      <w:r w:rsidR="006C5F0D" w:rsidRPr="006C5F0D">
        <w:rPr>
          <w:rFonts w:cs="Arial"/>
          <w:i/>
          <w:lang w:val="es-ES"/>
        </w:rPr>
        <w:t xml:space="preserve">acantilado </w:t>
      </w:r>
      <w:r w:rsidR="006C5F0D" w:rsidRPr="006C5F0D">
        <w:rPr>
          <w:rFonts w:cs="Arial"/>
          <w:lang w:val="es-ES"/>
        </w:rPr>
        <w:t>tan temido por las compañías farma</w:t>
      </w:r>
      <w:r w:rsidR="00590AAF">
        <w:rPr>
          <w:rFonts w:cs="Arial"/>
          <w:lang w:val="es-ES"/>
        </w:rPr>
        <w:t>céuticas.</w:t>
      </w:r>
    </w:p>
    <w:p w14:paraId="09B0D859" w14:textId="77777777" w:rsidR="00590AAF" w:rsidRPr="006C5F0D" w:rsidRDefault="00590AAF" w:rsidP="006C5F0D">
      <w:pPr>
        <w:ind w:left="0"/>
        <w:rPr>
          <w:rFonts w:cs="Arial"/>
          <w:lang w:val="es-ES"/>
        </w:rPr>
      </w:pPr>
    </w:p>
    <w:p w14:paraId="475825B5" w14:textId="77777777" w:rsidR="006C5F0D" w:rsidRDefault="006C5F0D" w:rsidP="00B83CF2">
      <w:pPr>
        <w:ind w:left="0" w:firstLine="360"/>
        <w:rPr>
          <w:rFonts w:cs="Arial"/>
          <w:lang w:val="es-ES"/>
        </w:rPr>
      </w:pPr>
      <w:r w:rsidRPr="006C5F0D">
        <w:rPr>
          <w:rFonts w:cs="Arial"/>
          <w:lang w:val="es-ES"/>
        </w:rPr>
        <w:t xml:space="preserve">En los años 2014 y 2015 numerosos fármacos perderán sus derechos de patente uniéndose a la lista de los que ya los han perdido. Para el año 2020 doce </w:t>
      </w:r>
      <w:r w:rsidRPr="006C5F0D">
        <w:rPr>
          <w:rFonts w:cs="Arial"/>
          <w:i/>
          <w:lang w:val="es-ES"/>
        </w:rPr>
        <w:t xml:space="preserve">blockbuster </w:t>
      </w:r>
      <w:r w:rsidRPr="006C5F0D">
        <w:rPr>
          <w:rFonts w:cs="Arial"/>
          <w:lang w:val="es-ES"/>
        </w:rPr>
        <w:t xml:space="preserve">que suman más de 67.000 millones de dólares en ventas verán como </w:t>
      </w:r>
      <w:r w:rsidRPr="006C5F0D">
        <w:rPr>
          <w:rFonts w:cs="Arial"/>
          <w:lang w:val="es-ES"/>
        </w:rPr>
        <w:lastRenderedPageBreak/>
        <w:t>expiran sus patentes. Por ejemplo, el medicamento biológico Enbrel de los laboratorios Amgen que se utiliza para tratar el reumatismo y la artritis, cuyo tratamiento por paciente al año está en torno a los 22.000 $ (cerca de 16.000 €) y que tiene unas ventas globales anuales de más de 7.000 millones de dólares, perderá su patente en Europa el 1 de febrero de 2015 permitiendo, por tanto, a sus  competidores lanzar sus productos biosimilares en el mercado.</w:t>
      </w:r>
    </w:p>
    <w:p w14:paraId="49B299B7" w14:textId="77777777" w:rsidR="00A751CD" w:rsidRPr="006C5F0D" w:rsidRDefault="00A751CD" w:rsidP="006C5F0D">
      <w:pPr>
        <w:ind w:left="0"/>
        <w:rPr>
          <w:rFonts w:cs="Arial"/>
          <w:lang w:val="es-ES"/>
        </w:rPr>
      </w:pPr>
    </w:p>
    <w:p w14:paraId="1BAB6FEA" w14:textId="25A6B95D" w:rsidR="006C5F0D" w:rsidRDefault="00B83CF2" w:rsidP="00B83CF2">
      <w:pPr>
        <w:ind w:left="0" w:firstLine="360"/>
        <w:rPr>
          <w:rFonts w:cs="Arial"/>
          <w:lang w:val="es-ES"/>
        </w:rPr>
      </w:pPr>
      <w:r>
        <w:rPr>
          <w:rFonts w:cs="Arial"/>
          <w:lang w:val="es-ES"/>
        </w:rPr>
        <w:t>En el gráfico</w:t>
      </w:r>
      <w:r w:rsidR="006C5F0D" w:rsidRPr="006C5F0D">
        <w:rPr>
          <w:rFonts w:cs="Arial"/>
          <w:lang w:val="es-ES"/>
        </w:rPr>
        <w:t xml:space="preserve"> de abajo se muestran la previsión de ventas de los gigantes del sector entre los años 2010 y 2020 como se puede observar el figurado acantilado se convierte en algo muy real, especialmente para compañía como Pfizer (PFE), AstraZeneca (AZN) y especialmente Eli Lilly (LLY).</w:t>
      </w:r>
    </w:p>
    <w:p w14:paraId="66973C9B" w14:textId="77777777" w:rsidR="00590AAF" w:rsidRPr="006C5F0D" w:rsidRDefault="00590AAF" w:rsidP="006C5F0D">
      <w:pPr>
        <w:ind w:left="0"/>
        <w:rPr>
          <w:rFonts w:cs="Arial"/>
          <w:lang w:val="es-ES"/>
        </w:rPr>
      </w:pPr>
    </w:p>
    <w:p w14:paraId="15C03BAF" w14:textId="77777777" w:rsidR="00A751CD" w:rsidRDefault="006C5F0D" w:rsidP="00A751CD">
      <w:pPr>
        <w:keepNext/>
        <w:ind w:left="0"/>
      </w:pPr>
      <w:r w:rsidRPr="006C5F0D">
        <w:rPr>
          <w:rFonts w:cs="Arial"/>
          <w:noProof/>
          <w:lang w:val="es-ES" w:eastAsia="es-ES"/>
        </w:rPr>
        <w:drawing>
          <wp:inline distT="0" distB="0" distL="0" distR="0" wp14:anchorId="4D3124A0" wp14:editId="741FD72A">
            <wp:extent cx="5346605" cy="2240280"/>
            <wp:effectExtent l="38100" t="38100" r="45085" b="4572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tent%20cliff.jpg"/>
                    <pic:cNvPicPr/>
                  </pic:nvPicPr>
                  <pic:blipFill rotWithShape="1">
                    <a:blip r:embed="rId26">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val="0"/>
                        </a:ext>
                      </a:extLst>
                    </a:blip>
                    <a:srcRect l="8317"/>
                    <a:stretch/>
                  </pic:blipFill>
                  <pic:spPr bwMode="auto">
                    <a:xfrm>
                      <a:off x="0" y="0"/>
                      <a:ext cx="5377190" cy="2253095"/>
                    </a:xfrm>
                    <a:prstGeom prst="rect">
                      <a:avLst/>
                    </a:prstGeom>
                    <a:ln w="28575">
                      <a:solidFill>
                        <a:schemeClr val="accent1"/>
                      </a:solidFill>
                    </a:ln>
                    <a:extLst>
                      <a:ext uri="{53640926-AAD7-44D8-BBD7-CCE9431645EC}">
                        <a14:shadowObscured xmlns:a14="http://schemas.microsoft.com/office/drawing/2010/main"/>
                      </a:ext>
                    </a:extLst>
                  </pic:spPr>
                </pic:pic>
              </a:graphicData>
            </a:graphic>
          </wp:inline>
        </w:drawing>
      </w:r>
    </w:p>
    <w:p w14:paraId="09C839C7" w14:textId="115C970A" w:rsidR="00590AAF" w:rsidRPr="006C5F0D" w:rsidRDefault="00275CEA" w:rsidP="00275CEA">
      <w:pPr>
        <w:pStyle w:val="Descripcin"/>
        <w:jc w:val="center"/>
        <w:rPr>
          <w:rFonts w:cs="Arial"/>
          <w:lang w:val="es-ES"/>
        </w:rPr>
      </w:pPr>
      <w:bookmarkStart w:id="73" w:name="_Toc400008717"/>
      <w:bookmarkStart w:id="74" w:name="_Toc400525289"/>
      <w:r w:rsidRPr="006C5F0D">
        <w:rPr>
          <w:rFonts w:cs="Arial"/>
          <w:noProof/>
          <w:lang w:val="es-ES" w:eastAsia="es-ES"/>
        </w:rPr>
        <w:drawing>
          <wp:anchor distT="0" distB="0" distL="114300" distR="114300" simplePos="0" relativeHeight="251640320" behindDoc="1" locked="0" layoutInCell="1" allowOverlap="1" wp14:anchorId="30B701C1" wp14:editId="34E7C6F0">
            <wp:simplePos x="0" y="0"/>
            <wp:positionH relativeFrom="margin">
              <wp:align>left</wp:align>
            </wp:positionH>
            <wp:positionV relativeFrom="paragraph">
              <wp:posOffset>369116</wp:posOffset>
            </wp:positionV>
            <wp:extent cx="2463165" cy="3970655"/>
            <wp:effectExtent l="38100" t="38100" r="32385" b="29845"/>
            <wp:wrapTight wrapText="bothSides">
              <wp:wrapPolygon edited="0">
                <wp:start x="-334" y="-207"/>
                <wp:lineTo x="-334" y="21659"/>
                <wp:lineTo x="21717" y="21659"/>
                <wp:lineTo x="21717" y="-207"/>
                <wp:lineTo x="-334" y="-207"/>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pbell%20Alliance%20Figures-v2-02_r1.jpg"/>
                    <pic:cNvPicPr/>
                  </pic:nvPicPr>
                  <pic:blipFill rotWithShape="1">
                    <a:blip r:embed="rId28">
                      <a:extLst>
                        <a:ext uri="{28A0092B-C50C-407E-A947-70E740481C1C}">
                          <a14:useLocalDpi xmlns:a14="http://schemas.microsoft.com/office/drawing/2010/main" val="0"/>
                        </a:ext>
                      </a:extLst>
                    </a:blip>
                    <a:srcRect l="1219" t="8271" r="1422" b="512"/>
                    <a:stretch/>
                  </pic:blipFill>
                  <pic:spPr bwMode="auto">
                    <a:xfrm>
                      <a:off x="0" y="0"/>
                      <a:ext cx="2465024" cy="3974105"/>
                    </a:xfrm>
                    <a:prstGeom prst="rect">
                      <a:avLst/>
                    </a:prstGeom>
                    <a:ln w="2857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70016" behindDoc="0" locked="0" layoutInCell="1" allowOverlap="1" wp14:anchorId="727CD6CE" wp14:editId="0DA9FD1F">
                <wp:simplePos x="0" y="0"/>
                <wp:positionH relativeFrom="column">
                  <wp:posOffset>2612299</wp:posOffset>
                </wp:positionH>
                <wp:positionV relativeFrom="paragraph">
                  <wp:posOffset>3444240</wp:posOffset>
                </wp:positionV>
                <wp:extent cx="2721610" cy="635"/>
                <wp:effectExtent l="0" t="0" r="0" b="0"/>
                <wp:wrapSquare wrapText="bothSides"/>
                <wp:docPr id="452" name="Cuadro de texto 452"/>
                <wp:cNvGraphicFramePr/>
                <a:graphic xmlns:a="http://schemas.openxmlformats.org/drawingml/2006/main">
                  <a:graphicData uri="http://schemas.microsoft.com/office/word/2010/wordprocessingShape">
                    <wps:wsp>
                      <wps:cNvSpPr txBox="1"/>
                      <wps:spPr>
                        <a:xfrm>
                          <a:off x="0" y="0"/>
                          <a:ext cx="2721610" cy="635"/>
                        </a:xfrm>
                        <a:prstGeom prst="rect">
                          <a:avLst/>
                        </a:prstGeom>
                        <a:solidFill>
                          <a:prstClr val="white"/>
                        </a:solidFill>
                        <a:ln>
                          <a:noFill/>
                        </a:ln>
                        <a:effectLst/>
                      </wps:spPr>
                      <wps:txbx>
                        <w:txbxContent>
                          <w:p w14:paraId="758B5645" w14:textId="29DA50B5" w:rsidR="00A5627F" w:rsidRPr="00A751CD" w:rsidRDefault="00A5627F" w:rsidP="003F6C7E">
                            <w:pPr>
                              <w:pStyle w:val="Descripcin"/>
                              <w:jc w:val="center"/>
                              <w:rPr>
                                <w:rFonts w:cs="Arial"/>
                                <w:lang w:val="es-ES"/>
                              </w:rPr>
                            </w:pPr>
                            <w:bookmarkStart w:id="75" w:name="_Toc400008718"/>
                            <w:bookmarkStart w:id="76" w:name="_Toc400525290"/>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14</w:t>
                            </w:r>
                            <w:r>
                              <w:fldChar w:fldCharType="end"/>
                            </w:r>
                            <w:r w:rsidRPr="00A751CD">
                              <w:rPr>
                                <w:lang w:val="es-ES"/>
                              </w:rPr>
                              <w:t xml:space="preserve"> - Comparativa entre los derechos de IP entre medicamentos químicos y biológicos.</w:t>
                            </w:r>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7CD6CE" id="Cuadro de texto 452" o:spid="_x0000_s1039" type="#_x0000_t202" style="position:absolute;left:0;text-align:left;margin-left:205.7pt;margin-top:271.2pt;width:214.3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" stroked="f">
                <v:textbox style="mso-fit-shape-to-text:t" inset="0,0,0,0">
                  <w:txbxContent>
                    <w:p w14:paraId="758B5645" w14:textId="29DA50B5" w:rsidR="00A5627F" w:rsidRPr="00A751CD" w:rsidRDefault="00A5627F" w:rsidP="003F6C7E">
                      <w:pPr>
                        <w:pStyle w:val="Descripcin"/>
                        <w:jc w:val="center"/>
                        <w:rPr>
                          <w:rFonts w:cs="Arial"/>
                          <w:lang w:val="es-ES"/>
                        </w:rPr>
                      </w:pPr>
                      <w:bookmarkStart w:id="77" w:name="_Toc400008718"/>
                      <w:bookmarkStart w:id="78" w:name="_Toc400525290"/>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14</w:t>
                      </w:r>
                      <w:r>
                        <w:fldChar w:fldCharType="end"/>
                      </w:r>
                      <w:r w:rsidRPr="00A751CD">
                        <w:rPr>
                          <w:lang w:val="es-ES"/>
                        </w:rPr>
                        <w:t xml:space="preserve"> - Comparativa entre los derechos de IP entre medicamentos químicos y biológicos.</w:t>
                      </w:r>
                      <w:bookmarkEnd w:id="77"/>
                      <w:bookmarkEnd w:id="78"/>
                    </w:p>
                  </w:txbxContent>
                </v:textbox>
                <w10:wrap type="square"/>
              </v:shape>
            </w:pict>
          </mc:Fallback>
        </mc:AlternateContent>
      </w:r>
      <w:r w:rsidRPr="006C5F0D">
        <w:rPr>
          <w:rFonts w:cs="Arial"/>
          <w:noProof/>
          <w:lang w:val="es-ES" w:eastAsia="es-ES"/>
        </w:rPr>
        <w:drawing>
          <wp:anchor distT="0" distB="0" distL="114300" distR="114300" simplePos="0" relativeHeight="251638272" behindDoc="1" locked="0" layoutInCell="1" allowOverlap="1" wp14:anchorId="489956CC" wp14:editId="281B0BDD">
            <wp:simplePos x="0" y="0"/>
            <wp:positionH relativeFrom="margin">
              <wp:align>right</wp:align>
            </wp:positionH>
            <wp:positionV relativeFrom="paragraph">
              <wp:posOffset>367030</wp:posOffset>
            </wp:positionV>
            <wp:extent cx="2721610" cy="3020060"/>
            <wp:effectExtent l="38100" t="38100" r="40640" b="46990"/>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4).png"/>
                    <pic:cNvPicPr/>
                  </pic:nvPicPr>
                  <pic:blipFill rotWithShape="1">
                    <a:blip r:embed="rId29" cstate="print">
                      <a:extLst>
                        <a:ext uri="{BEBA8EAE-BF5A-486C-A8C5-ECC9F3942E4B}">
                          <a14:imgProps xmlns:a14="http://schemas.microsoft.com/office/drawing/2010/main">
                            <a14:imgLayer r:embed="rId30">
                              <a14:imgEffect>
                                <a14:colorTemperature colorTemp="4700"/>
                              </a14:imgEffect>
                            </a14:imgLayer>
                          </a14:imgProps>
                        </a:ext>
                        <a:ext uri="{28A0092B-C50C-407E-A947-70E740481C1C}">
                          <a14:useLocalDpi xmlns:a14="http://schemas.microsoft.com/office/drawing/2010/main" val="0"/>
                        </a:ext>
                      </a:extLst>
                    </a:blip>
                    <a:srcRect l="26648" t="-590" r="25709" b="2467"/>
                    <a:stretch/>
                  </pic:blipFill>
                  <pic:spPr bwMode="auto">
                    <a:xfrm>
                      <a:off x="0" y="0"/>
                      <a:ext cx="2721610" cy="3020060"/>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1CD" w:rsidRPr="00A751CD">
        <w:rPr>
          <w:lang w:val="es-ES"/>
        </w:rPr>
        <w:t xml:space="preserve">Ilustración </w:t>
      </w:r>
      <w:r w:rsidR="00A751CD">
        <w:fldChar w:fldCharType="begin"/>
      </w:r>
      <w:r w:rsidR="00A751CD" w:rsidRPr="00A751CD">
        <w:rPr>
          <w:lang w:val="es-ES"/>
        </w:rPr>
        <w:instrText xml:space="preserve"> SEQ Ilustración \* ARABIC </w:instrText>
      </w:r>
      <w:r w:rsidR="00A751CD">
        <w:fldChar w:fldCharType="separate"/>
      </w:r>
      <w:r w:rsidR="0099684C">
        <w:rPr>
          <w:noProof/>
          <w:lang w:val="es-ES"/>
        </w:rPr>
        <w:t>15</w:t>
      </w:r>
      <w:r w:rsidR="00A751CD">
        <w:fldChar w:fldCharType="end"/>
      </w:r>
      <w:r w:rsidR="00A751CD" w:rsidRPr="00A751CD">
        <w:rPr>
          <w:lang w:val="es-ES"/>
        </w:rPr>
        <w:t xml:space="preserve"> </w:t>
      </w:r>
      <w:r w:rsidR="00A751CD">
        <w:rPr>
          <w:lang w:val="es-ES"/>
        </w:rPr>
        <w:t>–</w:t>
      </w:r>
      <w:r w:rsidR="00A751CD" w:rsidRPr="00A751CD">
        <w:rPr>
          <w:lang w:val="es-ES"/>
        </w:rPr>
        <w:t xml:space="preserve"> Previsi</w:t>
      </w:r>
      <w:r w:rsidR="00A751CD">
        <w:rPr>
          <w:lang w:val="es-ES"/>
        </w:rPr>
        <w:t>ón de la evolución de los b</w:t>
      </w:r>
      <w:r w:rsidR="00A751CD" w:rsidRPr="00A751CD">
        <w:rPr>
          <w:lang w:val="es-ES"/>
        </w:rPr>
        <w:t>enef</w:t>
      </w:r>
      <w:r>
        <w:rPr>
          <w:lang w:val="es-ES"/>
        </w:rPr>
        <w:t xml:space="preserve">icios de las grandes compañías farmacéuticas </w:t>
      </w:r>
      <w:r w:rsidR="00A751CD" w:rsidRPr="00A751CD">
        <w:rPr>
          <w:lang w:val="es-ES"/>
        </w:rPr>
        <w:t>hasta 2020.</w:t>
      </w:r>
      <w:bookmarkEnd w:id="73"/>
      <w:bookmarkEnd w:id="74"/>
    </w:p>
    <w:p w14:paraId="3C943DEE" w14:textId="552180EF" w:rsidR="00590AAF" w:rsidRDefault="00275CEA" w:rsidP="00B83CF2">
      <w:pPr>
        <w:ind w:left="0" w:firstLine="360"/>
        <w:rPr>
          <w:rFonts w:cs="Arial"/>
          <w:lang w:val="es-ES"/>
        </w:rPr>
      </w:pPr>
      <w:r>
        <w:rPr>
          <w:noProof/>
          <w:lang w:val="es-ES" w:eastAsia="es-ES"/>
        </w:rPr>
        <mc:AlternateContent>
          <mc:Choice Requires="wps">
            <w:drawing>
              <wp:anchor distT="0" distB="0" distL="114300" distR="114300" simplePos="0" relativeHeight="251667968" behindDoc="1" locked="0" layoutInCell="1" allowOverlap="1" wp14:anchorId="272F2228" wp14:editId="688E7189">
                <wp:simplePos x="0" y="0"/>
                <wp:positionH relativeFrom="column">
                  <wp:posOffset>37374</wp:posOffset>
                </wp:positionH>
                <wp:positionV relativeFrom="paragraph">
                  <wp:posOffset>4135210</wp:posOffset>
                </wp:positionV>
                <wp:extent cx="2463165" cy="635"/>
                <wp:effectExtent l="0" t="0" r="0" b="0"/>
                <wp:wrapTight wrapText="bothSides">
                  <wp:wrapPolygon edited="0">
                    <wp:start x="0" y="0"/>
                    <wp:lineTo x="0" y="21600"/>
                    <wp:lineTo x="21600" y="21600"/>
                    <wp:lineTo x="21600" y="0"/>
                  </wp:wrapPolygon>
                </wp:wrapTight>
                <wp:docPr id="451" name="Cuadro de texto 451"/>
                <wp:cNvGraphicFramePr/>
                <a:graphic xmlns:a="http://schemas.openxmlformats.org/drawingml/2006/main">
                  <a:graphicData uri="http://schemas.microsoft.com/office/word/2010/wordprocessingShape">
                    <wps:wsp>
                      <wps:cNvSpPr txBox="1"/>
                      <wps:spPr>
                        <a:xfrm>
                          <a:off x="0" y="0"/>
                          <a:ext cx="2463165" cy="635"/>
                        </a:xfrm>
                        <a:prstGeom prst="rect">
                          <a:avLst/>
                        </a:prstGeom>
                        <a:solidFill>
                          <a:prstClr val="white"/>
                        </a:solidFill>
                        <a:ln>
                          <a:noFill/>
                        </a:ln>
                        <a:effectLst/>
                      </wps:spPr>
                      <wps:txbx>
                        <w:txbxContent>
                          <w:p w14:paraId="41407468" w14:textId="7C69BD4C" w:rsidR="00A5627F" w:rsidRPr="00A751CD" w:rsidRDefault="00A5627F" w:rsidP="00A751CD">
                            <w:pPr>
                              <w:pStyle w:val="Descripcin"/>
                              <w:jc w:val="center"/>
                              <w:rPr>
                                <w:rFonts w:cs="Arial"/>
                                <w:lang w:val="es-ES"/>
                              </w:rPr>
                            </w:pPr>
                            <w:bookmarkStart w:id="79" w:name="_Toc400008719"/>
                            <w:bookmarkStart w:id="80" w:name="_Toc400525291"/>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16</w:t>
                            </w:r>
                            <w:r>
                              <w:fldChar w:fldCharType="end"/>
                            </w:r>
                            <w:r w:rsidRPr="00A751CD">
                              <w:rPr>
                                <w:lang w:val="es-ES"/>
                              </w:rPr>
                              <w:t xml:space="preserve"> </w:t>
                            </w:r>
                            <w:r>
                              <w:rPr>
                                <w:lang w:val="es-ES"/>
                              </w:rPr>
                              <w:t>–</w:t>
                            </w:r>
                            <w:r w:rsidRPr="00A751CD">
                              <w:rPr>
                                <w:lang w:val="es-ES"/>
                              </w:rPr>
                              <w:t xml:space="preserve"> </w:t>
                            </w:r>
                            <w:r>
                              <w:rPr>
                                <w:lang w:val="es-ES"/>
                              </w:rPr>
                              <w:t>algunas de las</w:t>
                            </w:r>
                            <w:r w:rsidRPr="00A751CD">
                              <w:rPr>
                                <w:lang w:val="es-ES"/>
                              </w:rPr>
                              <w:t xml:space="preserve"> patentes</w:t>
                            </w:r>
                            <w:r>
                              <w:rPr>
                                <w:lang w:val="es-ES"/>
                              </w:rPr>
                              <w:t xml:space="preserve"> más importantes</w:t>
                            </w:r>
                            <w:r w:rsidRPr="00A751CD">
                              <w:rPr>
                                <w:lang w:val="es-ES"/>
                              </w:rPr>
                              <w:t xml:space="preserve"> a expirar en EEUU.</w:t>
                            </w:r>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2F2228" id="Cuadro de texto 451" o:spid="_x0000_s1040" type="#_x0000_t202" style="position:absolute;left:0;text-align:left;margin-left:2.95pt;margin-top:325.6pt;width:193.95pt;height:.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" stroked="f">
                <v:textbox style="mso-fit-shape-to-text:t" inset="0,0,0,0">
                  <w:txbxContent>
                    <w:p w14:paraId="41407468" w14:textId="7C69BD4C" w:rsidR="00A5627F" w:rsidRPr="00A751CD" w:rsidRDefault="00A5627F" w:rsidP="00A751CD">
                      <w:pPr>
                        <w:pStyle w:val="Descripcin"/>
                        <w:jc w:val="center"/>
                        <w:rPr>
                          <w:rFonts w:cs="Arial"/>
                          <w:lang w:val="es-ES"/>
                        </w:rPr>
                      </w:pPr>
                      <w:bookmarkStart w:id="81" w:name="_Toc400008719"/>
                      <w:bookmarkStart w:id="82" w:name="_Toc400525291"/>
                      <w:r w:rsidRPr="00A751CD">
                        <w:rPr>
                          <w:lang w:val="es-ES"/>
                        </w:rPr>
                        <w:t xml:space="preserve">Ilustración </w:t>
                      </w:r>
                      <w:r>
                        <w:fldChar w:fldCharType="begin"/>
                      </w:r>
                      <w:r w:rsidRPr="00A751CD">
                        <w:rPr>
                          <w:lang w:val="es-ES"/>
                        </w:rPr>
                        <w:instrText xml:space="preserve"> SEQ Ilustración \* ARABIC </w:instrText>
                      </w:r>
                      <w:r>
                        <w:fldChar w:fldCharType="separate"/>
                      </w:r>
                      <w:r w:rsidR="0099684C">
                        <w:rPr>
                          <w:noProof/>
                          <w:lang w:val="es-ES"/>
                        </w:rPr>
                        <w:t>16</w:t>
                      </w:r>
                      <w:r>
                        <w:fldChar w:fldCharType="end"/>
                      </w:r>
                      <w:r w:rsidRPr="00A751CD">
                        <w:rPr>
                          <w:lang w:val="es-ES"/>
                        </w:rPr>
                        <w:t xml:space="preserve"> </w:t>
                      </w:r>
                      <w:r>
                        <w:rPr>
                          <w:lang w:val="es-ES"/>
                        </w:rPr>
                        <w:t>–</w:t>
                      </w:r>
                      <w:r w:rsidRPr="00A751CD">
                        <w:rPr>
                          <w:lang w:val="es-ES"/>
                        </w:rPr>
                        <w:t xml:space="preserve"> </w:t>
                      </w:r>
                      <w:r>
                        <w:rPr>
                          <w:lang w:val="es-ES"/>
                        </w:rPr>
                        <w:t>algunas de las</w:t>
                      </w:r>
                      <w:r w:rsidRPr="00A751CD">
                        <w:rPr>
                          <w:lang w:val="es-ES"/>
                        </w:rPr>
                        <w:t xml:space="preserve"> patentes</w:t>
                      </w:r>
                      <w:r>
                        <w:rPr>
                          <w:lang w:val="es-ES"/>
                        </w:rPr>
                        <w:t xml:space="preserve"> más importantes</w:t>
                      </w:r>
                      <w:r w:rsidRPr="00A751CD">
                        <w:rPr>
                          <w:lang w:val="es-ES"/>
                        </w:rPr>
                        <w:t xml:space="preserve"> a expirar en EEUU.</w:t>
                      </w:r>
                      <w:bookmarkEnd w:id="81"/>
                      <w:bookmarkEnd w:id="82"/>
                    </w:p>
                  </w:txbxContent>
                </v:textbox>
                <w10:wrap type="tight"/>
              </v:shape>
            </w:pict>
          </mc:Fallback>
        </mc:AlternateContent>
      </w:r>
      <w:r w:rsidR="006C5F0D" w:rsidRPr="006C5F0D">
        <w:rPr>
          <w:rFonts w:cs="Arial"/>
          <w:lang w:val="es-ES"/>
        </w:rPr>
        <w:t>En la tabla de la  derecha, que fue pu</w:t>
      </w:r>
      <w:r w:rsidR="00A751CD">
        <w:rPr>
          <w:rFonts w:cs="Arial"/>
          <w:lang w:val="es-ES"/>
        </w:rPr>
        <w:t xml:space="preserve">blicada en el periódico español, </w:t>
      </w:r>
      <w:r w:rsidR="006C5F0D" w:rsidRPr="006C5F0D">
        <w:rPr>
          <w:rFonts w:cs="Arial"/>
          <w:lang w:val="es-ES"/>
        </w:rPr>
        <w:t>especializado en información farmacéutica</w:t>
      </w:r>
      <w:r w:rsidR="00A751CD">
        <w:rPr>
          <w:rFonts w:cs="Arial"/>
          <w:lang w:val="es-ES"/>
        </w:rPr>
        <w:t>,</w:t>
      </w:r>
      <w:r w:rsidR="006C5F0D" w:rsidRPr="006C5F0D">
        <w:rPr>
          <w:rFonts w:cs="Arial"/>
          <w:lang w:val="es-ES"/>
        </w:rPr>
        <w:t xml:space="preserve"> “El Global”, podemos ver cómo evolucionará </w:t>
      </w:r>
      <w:r w:rsidR="006C5F0D" w:rsidRPr="006C5F0D">
        <w:rPr>
          <w:rFonts w:cs="Arial"/>
          <w:lang w:val="es-ES"/>
        </w:rPr>
        <w:lastRenderedPageBreak/>
        <w:t>la caducidad de las patentes hasta el año 2020 y su comparación entre fármacos químicos y biológicos.</w:t>
      </w:r>
    </w:p>
    <w:p w14:paraId="348C2B56" w14:textId="4BD8BEEE" w:rsidR="00590AAF" w:rsidRDefault="00590AAF" w:rsidP="006C5F0D">
      <w:pPr>
        <w:ind w:left="0"/>
        <w:rPr>
          <w:rFonts w:cs="Arial"/>
          <w:lang w:val="es-ES"/>
        </w:rPr>
      </w:pPr>
    </w:p>
    <w:p w14:paraId="320CD475" w14:textId="4F2FF836" w:rsidR="006C5F0D" w:rsidRPr="006C5F0D" w:rsidRDefault="006C5F0D" w:rsidP="00B83CF2">
      <w:pPr>
        <w:ind w:left="0" w:firstLine="360"/>
        <w:rPr>
          <w:rFonts w:cs="Arial"/>
          <w:lang w:val="es-ES"/>
        </w:rPr>
      </w:pPr>
      <w:r w:rsidRPr="006C5F0D">
        <w:rPr>
          <w:rFonts w:cs="Arial"/>
          <w:lang w:val="es-ES"/>
        </w:rPr>
        <w:t xml:space="preserve">La tabla de la izquierda, </w:t>
      </w:r>
      <w:r w:rsidR="00B83CF2">
        <w:rPr>
          <w:rFonts w:cs="Arial"/>
          <w:lang w:val="es-ES"/>
        </w:rPr>
        <w:t>en la página anterior,</w:t>
      </w:r>
      <w:r w:rsidRPr="006C5F0D">
        <w:rPr>
          <w:rFonts w:cs="Arial"/>
          <w:lang w:val="es-ES"/>
        </w:rPr>
        <w:t xml:space="preserve">publicada en la web </w:t>
      </w:r>
      <w:r w:rsidRPr="006C5F0D">
        <w:rPr>
          <w:rFonts w:cs="Arial"/>
          <w:i/>
          <w:lang w:val="es-ES"/>
        </w:rPr>
        <w:t>obroncology.com</w:t>
      </w:r>
      <w:r w:rsidRPr="006C5F0D">
        <w:rPr>
          <w:rFonts w:cs="Arial"/>
          <w:lang w:val="es-ES"/>
        </w:rPr>
        <w:t xml:space="preserve">, nos da una imagen detallada de la situación en determinados fármacos en Estados Unidos. </w:t>
      </w:r>
    </w:p>
    <w:p w14:paraId="5BA1F30E" w14:textId="77777777" w:rsidR="006C5F0D" w:rsidRDefault="006C5F0D" w:rsidP="006C5F0D">
      <w:pPr>
        <w:ind w:left="0"/>
        <w:rPr>
          <w:rFonts w:cs="Arial"/>
          <w:lang w:val="es-ES"/>
        </w:rPr>
      </w:pPr>
    </w:p>
    <w:p w14:paraId="01B2BA45" w14:textId="2B91E918" w:rsidR="00385BE1" w:rsidRDefault="007068B3" w:rsidP="00B83CF2">
      <w:pPr>
        <w:ind w:left="0" w:firstLine="360"/>
        <w:rPr>
          <w:rFonts w:cs="Arial"/>
          <w:lang w:val="es-ES"/>
        </w:rPr>
      </w:pPr>
      <w:r>
        <w:rPr>
          <w:rFonts w:cs="Arial"/>
          <w:lang w:val="es-ES"/>
        </w:rPr>
        <w:t>Las pérdidas en términos de ganancias y empleos para las grandes compañías farmacéuticas propietarias de las patentes han sido, y van a ser, grandes. Por ejemplo, un estudio publicado por el Gobierno de Irlanda en 2013</w:t>
      </w:r>
      <w:r w:rsidR="00C4053E">
        <w:rPr>
          <w:rFonts w:cs="Arial"/>
          <w:lang w:val="es-ES"/>
        </w:rPr>
        <w:t xml:space="preserve"> </w:t>
      </w:r>
      <w:r w:rsidR="00C4053E" w:rsidRPr="00C4053E">
        <w:rPr>
          <w:rFonts w:cs="Arial"/>
          <w:i/>
          <w:lang w:val="es-ES"/>
        </w:rPr>
        <w:t>(“The impact of the patent cliff on pharma-chem output in Ireland”</w:t>
      </w:r>
      <w:r w:rsidR="00C4053E">
        <w:rPr>
          <w:rFonts w:cs="Arial"/>
          <w:lang w:val="es-ES"/>
        </w:rPr>
        <w:t>)</w:t>
      </w:r>
      <w:r>
        <w:rPr>
          <w:rFonts w:cs="Arial"/>
          <w:lang w:val="es-ES"/>
        </w:rPr>
        <w:t>, calculó que el “</w:t>
      </w:r>
      <w:r w:rsidRPr="007068B3">
        <w:rPr>
          <w:rFonts w:cs="Arial"/>
          <w:i/>
          <w:lang w:val="es-ES"/>
        </w:rPr>
        <w:t>patent</w:t>
      </w:r>
      <w:r>
        <w:rPr>
          <w:rFonts w:cs="Arial"/>
          <w:lang w:val="es-ES"/>
        </w:rPr>
        <w:t xml:space="preserve"> </w:t>
      </w:r>
      <w:r w:rsidRPr="007068B3">
        <w:rPr>
          <w:rFonts w:cs="Arial"/>
          <w:i/>
          <w:lang w:val="es-ES"/>
        </w:rPr>
        <w:t>cliff</w:t>
      </w:r>
      <w:r>
        <w:rPr>
          <w:rFonts w:cs="Arial"/>
          <w:lang w:val="es-ES"/>
        </w:rPr>
        <w:t xml:space="preserve">” fue la primera causa de que el PIB del país pasará a ser negativo en el año 2012 tras varios años consecutivos de crecimiento. </w:t>
      </w:r>
      <w:r w:rsidRPr="007068B3">
        <w:rPr>
          <w:rFonts w:cs="Arial"/>
          <w:lang w:val="es-ES"/>
        </w:rPr>
        <w:t>Teniendo en cuenta el alto peso que el sector farmacéutico tiene</w:t>
      </w:r>
      <w:r>
        <w:rPr>
          <w:rFonts w:cs="Arial"/>
          <w:lang w:val="es-ES"/>
        </w:rPr>
        <w:t xml:space="preserve"> en el producto interior bruto de un país como Irlanda, donde nueve de las diez empresas más grandes a nivel mundial tienen presencia y donde las exportaciones de los productos fabricados por estas suponen un cuarto de total</w:t>
      </w:r>
      <w:r w:rsidR="00385BE1">
        <w:rPr>
          <w:rFonts w:cs="Arial"/>
          <w:lang w:val="es-ES"/>
        </w:rPr>
        <w:t xml:space="preserve"> del país</w:t>
      </w:r>
      <w:r>
        <w:rPr>
          <w:rFonts w:cs="Arial"/>
          <w:lang w:val="es-ES"/>
        </w:rPr>
        <w:t>,</w:t>
      </w:r>
      <w:r w:rsidR="00385BE1">
        <w:rPr>
          <w:rFonts w:cs="Arial"/>
          <w:lang w:val="es-ES"/>
        </w:rPr>
        <w:t xml:space="preserve"> es fácil imaginar el im</w:t>
      </w:r>
      <w:r w:rsidR="00C4053E">
        <w:rPr>
          <w:rFonts w:cs="Arial"/>
          <w:lang w:val="es-ES"/>
        </w:rPr>
        <w:t>pacto que puede tener en una</w:t>
      </w:r>
      <w:r w:rsidR="00385BE1">
        <w:rPr>
          <w:rFonts w:cs="Arial"/>
          <w:lang w:val="es-ES"/>
        </w:rPr>
        <w:t xml:space="preserve"> economía </w:t>
      </w:r>
      <w:r w:rsidR="00C4053E">
        <w:rPr>
          <w:rFonts w:cs="Arial"/>
          <w:lang w:val="es-ES"/>
        </w:rPr>
        <w:t xml:space="preserve">como esta </w:t>
      </w:r>
      <w:r w:rsidR="00385BE1">
        <w:rPr>
          <w:rFonts w:cs="Arial"/>
          <w:lang w:val="es-ES"/>
        </w:rPr>
        <w:t>la extinción de las patentes y la caída fulminante de los ingresos.</w:t>
      </w:r>
    </w:p>
    <w:p w14:paraId="6C859376" w14:textId="77777777" w:rsidR="00385BE1" w:rsidRDefault="00385BE1" w:rsidP="007068B3">
      <w:pPr>
        <w:ind w:left="0"/>
        <w:rPr>
          <w:rFonts w:cs="Arial"/>
          <w:lang w:val="es-ES"/>
        </w:rPr>
      </w:pPr>
    </w:p>
    <w:p w14:paraId="16D38989" w14:textId="2DC28D8D" w:rsidR="007068B3" w:rsidRDefault="00385BE1" w:rsidP="00C4053E">
      <w:pPr>
        <w:ind w:left="0"/>
        <w:jc w:val="left"/>
        <w:rPr>
          <w:rFonts w:cs="Arial"/>
          <w:lang w:val="es-ES"/>
        </w:rPr>
      </w:pPr>
      <w:r w:rsidRPr="00385BE1">
        <w:rPr>
          <w:rFonts w:cs="Arial"/>
          <w:lang w:val="es-ES"/>
        </w:rPr>
        <w:t>Los números que se manejan desde luego son astronómicos.</w:t>
      </w:r>
      <w:r w:rsidR="00C4053E">
        <w:rPr>
          <w:rFonts w:cs="Arial"/>
          <w:lang w:val="es-ES"/>
        </w:rPr>
        <w:t xml:space="preserve"> A modo de ejemplo y según las cifras publicadas en la página web especializada “</w:t>
      </w:r>
      <w:r w:rsidR="00C4053E" w:rsidRPr="00C4053E">
        <w:rPr>
          <w:rFonts w:cs="Arial"/>
          <w:i/>
          <w:lang w:val="es-ES"/>
        </w:rPr>
        <w:t>About Money</w:t>
      </w:r>
      <w:r w:rsidR="00C4053E">
        <w:rPr>
          <w:rFonts w:cs="Arial"/>
          <w:lang w:val="es-ES"/>
        </w:rPr>
        <w:t>”:</w:t>
      </w:r>
    </w:p>
    <w:p w14:paraId="716794C0" w14:textId="77777777" w:rsidR="00C4053E" w:rsidRDefault="00C4053E" w:rsidP="00C4053E">
      <w:pPr>
        <w:ind w:left="0"/>
        <w:jc w:val="left"/>
        <w:rPr>
          <w:rFonts w:cs="Arial"/>
          <w:lang w:val="es-ES"/>
        </w:rPr>
      </w:pPr>
    </w:p>
    <w:p w14:paraId="1BBD212F" w14:textId="3139AEA1" w:rsidR="00C4053E" w:rsidRDefault="00C4053E" w:rsidP="00C4053E">
      <w:pPr>
        <w:pStyle w:val="Prrafodelista"/>
        <w:numPr>
          <w:ilvl w:val="0"/>
          <w:numId w:val="24"/>
        </w:numPr>
        <w:ind w:left="0" w:firstLine="0"/>
        <w:rPr>
          <w:rFonts w:cs="Arial"/>
          <w:lang w:val="es-ES"/>
        </w:rPr>
      </w:pPr>
      <w:r>
        <w:rPr>
          <w:rFonts w:cs="Arial"/>
          <w:lang w:val="es-ES"/>
        </w:rPr>
        <w:t xml:space="preserve">Lipitor (Pfizer): </w:t>
      </w:r>
      <w:r w:rsidR="00851FB4">
        <w:rPr>
          <w:rFonts w:cs="Arial"/>
          <w:lang w:val="es-ES"/>
        </w:rPr>
        <w:t xml:space="preserve">Antiestatina usada para reducir el </w:t>
      </w:r>
      <w:r>
        <w:rPr>
          <w:rFonts w:cs="Arial"/>
          <w:lang w:val="es-ES"/>
        </w:rPr>
        <w:t xml:space="preserve">colesterol. Fue el líder mundial en ventas durante ocho años consecutivos. </w:t>
      </w:r>
      <w:r w:rsidRPr="00C4053E">
        <w:rPr>
          <w:rFonts w:cs="Arial"/>
          <w:lang w:val="es-ES"/>
        </w:rPr>
        <w:t>Tuvo unas ventas de 12.900 millones de dólares en 2011. Ese mismo años expir</w:t>
      </w:r>
      <w:r>
        <w:rPr>
          <w:rFonts w:cs="Arial"/>
          <w:lang w:val="es-ES"/>
        </w:rPr>
        <w:t>ó su patente. En 2012 sus ventas se redujeron un 61% hasta los 5.000 millones de dólares.</w:t>
      </w:r>
    </w:p>
    <w:p w14:paraId="78B59D16" w14:textId="77777777" w:rsidR="00C26B46" w:rsidRDefault="00C26B46" w:rsidP="00C26B46">
      <w:pPr>
        <w:pStyle w:val="Prrafodelista"/>
        <w:ind w:left="0"/>
        <w:rPr>
          <w:rFonts w:cs="Arial"/>
          <w:lang w:val="es-ES"/>
        </w:rPr>
      </w:pPr>
    </w:p>
    <w:p w14:paraId="7BFAD564" w14:textId="08CA6B54" w:rsidR="00C4053E" w:rsidRDefault="00C4053E" w:rsidP="00C4053E">
      <w:pPr>
        <w:pStyle w:val="Prrafodelista"/>
        <w:numPr>
          <w:ilvl w:val="0"/>
          <w:numId w:val="24"/>
        </w:numPr>
        <w:ind w:left="0" w:firstLine="0"/>
        <w:rPr>
          <w:rFonts w:cs="Arial"/>
          <w:lang w:val="es-ES"/>
        </w:rPr>
      </w:pPr>
      <w:r>
        <w:rPr>
          <w:rFonts w:cs="Arial"/>
          <w:lang w:val="es-ES"/>
        </w:rPr>
        <w:t xml:space="preserve">Plavix (Bristol-Myers &amp; Sanofi): Número dos en ventas a nivel mundial en 2012 con 9.500 millones de </w:t>
      </w:r>
      <w:r w:rsidR="00C522B0">
        <w:rPr>
          <w:rFonts w:cs="Arial"/>
          <w:lang w:val="es-ES"/>
        </w:rPr>
        <w:t xml:space="preserve">dólares, al año </w:t>
      </w:r>
      <w:r>
        <w:rPr>
          <w:rFonts w:cs="Arial"/>
          <w:lang w:val="es-ES"/>
        </w:rPr>
        <w:t>siguiente fueron de 5.200 millones.</w:t>
      </w:r>
    </w:p>
    <w:p w14:paraId="6D292D63" w14:textId="6BCE0FAE" w:rsidR="00C522B0" w:rsidRDefault="00C522B0" w:rsidP="00C522B0">
      <w:pPr>
        <w:pStyle w:val="Prrafodelista"/>
        <w:ind w:left="0"/>
        <w:rPr>
          <w:rFonts w:cs="Arial"/>
          <w:lang w:val="es-ES"/>
        </w:rPr>
      </w:pPr>
    </w:p>
    <w:p w14:paraId="4F7EDB95" w14:textId="366B1B7C" w:rsidR="00851FB4" w:rsidRPr="00312629" w:rsidRDefault="00C522B0" w:rsidP="00B83CF2">
      <w:pPr>
        <w:pStyle w:val="Prrafodelista"/>
        <w:ind w:left="0" w:firstLine="360"/>
        <w:rPr>
          <w:rFonts w:cs="Arial"/>
          <w:lang w:val="es-ES"/>
        </w:rPr>
      </w:pPr>
      <w:r>
        <w:rPr>
          <w:noProof/>
          <w:lang w:val="es-ES" w:eastAsia="es-ES"/>
        </w:rPr>
        <mc:AlternateContent>
          <mc:Choice Requires="wps">
            <w:drawing>
              <wp:anchor distT="0" distB="0" distL="114300" distR="114300" simplePos="0" relativeHeight="251678208" behindDoc="1" locked="0" layoutInCell="1" allowOverlap="1" wp14:anchorId="39241CFE" wp14:editId="471BFE56">
                <wp:simplePos x="0" y="0"/>
                <wp:positionH relativeFrom="column">
                  <wp:posOffset>19050</wp:posOffset>
                </wp:positionH>
                <wp:positionV relativeFrom="paragraph">
                  <wp:posOffset>2372995</wp:posOffset>
                </wp:positionV>
                <wp:extent cx="3606800" cy="635"/>
                <wp:effectExtent l="0" t="0" r="0" b="0"/>
                <wp:wrapTight wrapText="bothSides">
                  <wp:wrapPolygon edited="0">
                    <wp:start x="0" y="0"/>
                    <wp:lineTo x="0" y="21600"/>
                    <wp:lineTo x="21600" y="21600"/>
                    <wp:lineTo x="21600" y="0"/>
                  </wp:wrapPolygon>
                </wp:wrapTight>
                <wp:docPr id="455" name="Cuadro de texto 455"/>
                <wp:cNvGraphicFramePr/>
                <a:graphic xmlns:a="http://schemas.openxmlformats.org/drawingml/2006/main">
                  <a:graphicData uri="http://schemas.microsoft.com/office/word/2010/wordprocessingShape">
                    <wps:wsp>
                      <wps:cNvSpPr txBox="1"/>
                      <wps:spPr>
                        <a:xfrm>
                          <a:off x="0" y="0"/>
                          <a:ext cx="3606800" cy="635"/>
                        </a:xfrm>
                        <a:prstGeom prst="rect">
                          <a:avLst/>
                        </a:prstGeom>
                        <a:solidFill>
                          <a:prstClr val="white"/>
                        </a:solidFill>
                        <a:ln>
                          <a:noFill/>
                        </a:ln>
                        <a:effectLst/>
                      </wps:spPr>
                      <wps:txbx>
                        <w:txbxContent>
                          <w:p w14:paraId="295D2EC2" w14:textId="0E745371" w:rsidR="00A5627F" w:rsidRPr="00C522B0" w:rsidRDefault="00A5627F" w:rsidP="00C522B0">
                            <w:pPr>
                              <w:pStyle w:val="Descripcin"/>
                              <w:jc w:val="center"/>
                              <w:rPr>
                                <w:rFonts w:cs="Arial"/>
                                <w:noProof/>
                                <w:lang w:val="es-ES"/>
                              </w:rPr>
                            </w:pPr>
                            <w:bookmarkStart w:id="83" w:name="_Toc400525292"/>
                            <w:r w:rsidRPr="00C522B0">
                              <w:rPr>
                                <w:lang w:val="es-ES"/>
                              </w:rPr>
                              <w:t xml:space="preserve">Ilustración </w:t>
                            </w:r>
                            <w:r>
                              <w:fldChar w:fldCharType="begin"/>
                            </w:r>
                            <w:r w:rsidRPr="00C522B0">
                              <w:rPr>
                                <w:lang w:val="es-ES"/>
                              </w:rPr>
                              <w:instrText xml:space="preserve"> SEQ Ilustración \* ARABIC </w:instrText>
                            </w:r>
                            <w:r>
                              <w:fldChar w:fldCharType="separate"/>
                            </w:r>
                            <w:r w:rsidR="0099684C">
                              <w:rPr>
                                <w:noProof/>
                                <w:lang w:val="es-ES"/>
                              </w:rPr>
                              <w:t>17</w:t>
                            </w:r>
                            <w:r>
                              <w:fldChar w:fldCharType="end"/>
                            </w:r>
                            <w:r w:rsidRPr="00C522B0">
                              <w:rPr>
                                <w:lang w:val="es-ES"/>
                              </w:rPr>
                              <w:t xml:space="preserve"> </w:t>
                            </w:r>
                            <w:r>
                              <w:rPr>
                                <w:lang w:val="es-ES"/>
                              </w:rPr>
                              <w:t>- F</w:t>
                            </w:r>
                            <w:r w:rsidRPr="00C522B0">
                              <w:rPr>
                                <w:lang w:val="es-ES"/>
                              </w:rPr>
                              <w:t>ármacos más vendidos en el mundo en el año 2</w:t>
                            </w:r>
                            <w:r>
                              <w:rPr>
                                <w:lang w:val="es-ES"/>
                              </w:rPr>
                              <w:t>013 en miles de millones de dólares.</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241CFE" id="Cuadro de texto 455" o:spid="_x0000_s1041" type="#_x0000_t202" style="position:absolute;left:0;text-align:left;margin-left:1.5pt;margin-top:186.85pt;width:284pt;height:.0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" stroked="f">
                <v:textbox style="mso-fit-shape-to-text:t" inset="0,0,0,0">
                  <w:txbxContent>
                    <w:p w14:paraId="295D2EC2" w14:textId="0E745371" w:rsidR="00A5627F" w:rsidRPr="00C522B0" w:rsidRDefault="00A5627F" w:rsidP="00C522B0">
                      <w:pPr>
                        <w:pStyle w:val="Descripcin"/>
                        <w:jc w:val="center"/>
                        <w:rPr>
                          <w:rFonts w:cs="Arial"/>
                          <w:noProof/>
                          <w:lang w:val="es-ES"/>
                        </w:rPr>
                      </w:pPr>
                      <w:bookmarkStart w:id="84" w:name="_Toc400525292"/>
                      <w:r w:rsidRPr="00C522B0">
                        <w:rPr>
                          <w:lang w:val="es-ES"/>
                        </w:rPr>
                        <w:t xml:space="preserve">Ilustración </w:t>
                      </w:r>
                      <w:r>
                        <w:fldChar w:fldCharType="begin"/>
                      </w:r>
                      <w:r w:rsidRPr="00C522B0">
                        <w:rPr>
                          <w:lang w:val="es-ES"/>
                        </w:rPr>
                        <w:instrText xml:space="preserve"> SEQ Ilustración \* ARABIC </w:instrText>
                      </w:r>
                      <w:r>
                        <w:fldChar w:fldCharType="separate"/>
                      </w:r>
                      <w:r w:rsidR="0099684C">
                        <w:rPr>
                          <w:noProof/>
                          <w:lang w:val="es-ES"/>
                        </w:rPr>
                        <w:t>17</w:t>
                      </w:r>
                      <w:r>
                        <w:fldChar w:fldCharType="end"/>
                      </w:r>
                      <w:r w:rsidRPr="00C522B0">
                        <w:rPr>
                          <w:lang w:val="es-ES"/>
                        </w:rPr>
                        <w:t xml:space="preserve"> </w:t>
                      </w:r>
                      <w:r>
                        <w:rPr>
                          <w:lang w:val="es-ES"/>
                        </w:rPr>
                        <w:t>- F</w:t>
                      </w:r>
                      <w:r w:rsidRPr="00C522B0">
                        <w:rPr>
                          <w:lang w:val="es-ES"/>
                        </w:rPr>
                        <w:t>ármacos más vendidos en el mundo en el año 2</w:t>
                      </w:r>
                      <w:r>
                        <w:rPr>
                          <w:lang w:val="es-ES"/>
                        </w:rPr>
                        <w:t>013 en miles de millones de dólares.</w:t>
                      </w:r>
                      <w:bookmarkEnd w:id="84"/>
                    </w:p>
                  </w:txbxContent>
                </v:textbox>
                <w10:wrap type="tight"/>
              </v:shape>
            </w:pict>
          </mc:Fallback>
        </mc:AlternateContent>
      </w:r>
      <w:r>
        <w:rPr>
          <w:rFonts w:cs="Arial"/>
          <w:noProof/>
          <w:lang w:val="es-ES" w:eastAsia="es-ES"/>
        </w:rPr>
        <w:drawing>
          <wp:anchor distT="0" distB="0" distL="114300" distR="114300" simplePos="0" relativeHeight="251674112" behindDoc="1" locked="0" layoutInCell="1" allowOverlap="1" wp14:anchorId="59FFD4F8" wp14:editId="68EAFAE3">
            <wp:simplePos x="0" y="0"/>
            <wp:positionH relativeFrom="margin">
              <wp:align>left</wp:align>
            </wp:positionH>
            <wp:positionV relativeFrom="paragraph">
              <wp:posOffset>28575</wp:posOffset>
            </wp:positionV>
            <wp:extent cx="3607200" cy="2287489"/>
            <wp:effectExtent l="19050" t="19050" r="12700" b="17780"/>
            <wp:wrapTight wrapText="bothSides">
              <wp:wrapPolygon edited="0">
                <wp:start x="-114" y="-180"/>
                <wp:lineTo x="-114" y="21588"/>
                <wp:lineTo x="21562" y="21588"/>
                <wp:lineTo x="21562" y="-180"/>
                <wp:lineTo x="-114" y="-180"/>
              </wp:wrapPolygon>
            </wp:wrapTight>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Captura de pantalla (77).png"/>
                    <pic:cNvPicPr/>
                  </pic:nvPicPr>
                  <pic:blipFill rotWithShape="1">
                    <a:blip r:embed="rId31" cstate="print">
                      <a:extLst>
                        <a:ext uri="{28A0092B-C50C-407E-A947-70E740481C1C}">
                          <a14:useLocalDpi xmlns:a14="http://schemas.microsoft.com/office/drawing/2010/main" val="0"/>
                        </a:ext>
                      </a:extLst>
                    </a:blip>
                    <a:srcRect l="36114" t="16387" r="4780" b="16979"/>
                    <a:stretch/>
                  </pic:blipFill>
                  <pic:spPr bwMode="auto">
                    <a:xfrm>
                      <a:off x="0" y="0"/>
                      <a:ext cx="3607200" cy="2287489"/>
                    </a:xfrm>
                    <a:prstGeom prst="rect">
                      <a:avLst/>
                    </a:prstGeom>
                    <a:ln w="19050">
                      <a:solidFill>
                        <a:schemeClr val="accent1"/>
                      </a:solidFill>
                    </a:ln>
                    <a:extLst>
                      <a:ext uri="{53640926-AAD7-44D8-BBD7-CCE9431645EC}">
                        <a14:shadowObscured xmlns:a14="http://schemas.microsoft.com/office/drawing/2010/main"/>
                      </a:ext>
                    </a:extLst>
                  </pic:spPr>
                </pic:pic>
              </a:graphicData>
            </a:graphic>
          </wp:anchor>
        </w:drawing>
      </w:r>
      <w:r w:rsidR="00B83CF2">
        <w:rPr>
          <w:rFonts w:cs="Arial"/>
          <w:lang w:val="es-ES"/>
        </w:rPr>
        <w:t>En el gráfico</w:t>
      </w:r>
      <w:r w:rsidR="003F6C7E">
        <w:rPr>
          <w:rFonts w:cs="Arial"/>
          <w:lang w:val="es-ES"/>
        </w:rPr>
        <w:t xml:space="preserve"> de la izquierda</w:t>
      </w:r>
      <w:r>
        <w:rPr>
          <w:rFonts w:cs="Arial"/>
          <w:lang w:val="es-ES"/>
        </w:rPr>
        <w:t>, publicada en la web “</w:t>
      </w:r>
      <w:r>
        <w:rPr>
          <w:rFonts w:cs="Arial"/>
          <w:i/>
          <w:lang w:val="es-ES"/>
        </w:rPr>
        <w:t>Stat</w:t>
      </w:r>
      <w:r w:rsidRPr="00C522B0">
        <w:rPr>
          <w:rFonts w:cs="Arial"/>
          <w:i/>
          <w:lang w:val="es-ES"/>
        </w:rPr>
        <w:t>ista</w:t>
      </w:r>
      <w:r>
        <w:rPr>
          <w:rFonts w:cs="Arial"/>
          <w:lang w:val="es-ES"/>
        </w:rPr>
        <w:t>”, se pueden ver diez los fármacos más vendidos a nivel global de 2013. De ellos, seis han perdido o perderán sus patentes antes de</w:t>
      </w:r>
      <w:r w:rsidR="00C26B46">
        <w:rPr>
          <w:rFonts w:cs="Arial"/>
          <w:lang w:val="es-ES"/>
        </w:rPr>
        <w:t>l año 2016: Enbrel (2012), Lantu</w:t>
      </w:r>
      <w:r>
        <w:rPr>
          <w:rFonts w:cs="Arial"/>
          <w:lang w:val="es-ES"/>
        </w:rPr>
        <w:t>s (2015), Humira (2016), Nexium (2014), Cresto</w:t>
      </w:r>
      <w:r w:rsidR="00C26B46">
        <w:rPr>
          <w:rFonts w:cs="Arial"/>
          <w:lang w:val="es-ES"/>
        </w:rPr>
        <w:t>r</w:t>
      </w:r>
      <w:r>
        <w:rPr>
          <w:rFonts w:cs="Arial"/>
          <w:lang w:val="es-ES"/>
        </w:rPr>
        <w:t xml:space="preserve"> (2016), Cymbalta (2014).</w:t>
      </w:r>
    </w:p>
    <w:p w14:paraId="50BABA45" w14:textId="71596FDD" w:rsidR="00851FB4" w:rsidRDefault="00851FB4" w:rsidP="00CE7A9C">
      <w:pPr>
        <w:pStyle w:val="Prrafodelista"/>
        <w:keepNext/>
        <w:ind w:left="0"/>
        <w:rPr>
          <w:lang w:val="es-ES"/>
        </w:rPr>
      </w:pPr>
      <w:r>
        <w:rPr>
          <w:noProof/>
          <w:lang w:val="es-ES" w:eastAsia="es-ES"/>
        </w:rPr>
        <w:lastRenderedPageBreak/>
        <mc:AlternateContent>
          <mc:Choice Requires="wps">
            <w:drawing>
              <wp:anchor distT="0" distB="0" distL="114300" distR="114300" simplePos="0" relativeHeight="251680256" behindDoc="0" locked="0" layoutInCell="1" allowOverlap="1" wp14:anchorId="68CCB2FF" wp14:editId="3F647A22">
                <wp:simplePos x="0" y="0"/>
                <wp:positionH relativeFrom="margin">
                  <wp:align>left</wp:align>
                </wp:positionH>
                <wp:positionV relativeFrom="paragraph">
                  <wp:posOffset>3113405</wp:posOffset>
                </wp:positionV>
                <wp:extent cx="5372100" cy="635"/>
                <wp:effectExtent l="0" t="0" r="0" b="3810"/>
                <wp:wrapSquare wrapText="bothSides"/>
                <wp:docPr id="457" name="Cuadro de texto 457"/>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a:effectLst/>
                      </wps:spPr>
                      <wps:txbx>
                        <w:txbxContent>
                          <w:p w14:paraId="45D63984" w14:textId="2330ECDF" w:rsidR="00A5627F" w:rsidRPr="003F6C7E" w:rsidRDefault="00A5627F" w:rsidP="003F6C7E">
                            <w:pPr>
                              <w:pStyle w:val="Descripcin"/>
                              <w:jc w:val="center"/>
                              <w:rPr>
                                <w:noProof/>
                                <w:lang w:val="es-ES"/>
                              </w:rPr>
                            </w:pPr>
                            <w:bookmarkStart w:id="85" w:name="_Toc400525293"/>
                            <w:r w:rsidRPr="003F6C7E">
                              <w:rPr>
                                <w:lang w:val="es-ES"/>
                              </w:rPr>
                              <w:t xml:space="preserve">Ilustración </w:t>
                            </w:r>
                            <w:r>
                              <w:fldChar w:fldCharType="begin"/>
                            </w:r>
                            <w:r w:rsidRPr="003F6C7E">
                              <w:rPr>
                                <w:lang w:val="es-ES"/>
                              </w:rPr>
                              <w:instrText xml:space="preserve"> SEQ Ilustración \* ARABIC </w:instrText>
                            </w:r>
                            <w:r>
                              <w:fldChar w:fldCharType="separate"/>
                            </w:r>
                            <w:r w:rsidR="0099684C">
                              <w:rPr>
                                <w:noProof/>
                                <w:lang w:val="es-ES"/>
                              </w:rPr>
                              <w:t>18</w:t>
                            </w:r>
                            <w:r>
                              <w:fldChar w:fldCharType="end"/>
                            </w:r>
                            <w:r w:rsidRPr="003F6C7E">
                              <w:rPr>
                                <w:lang w:val="es-ES"/>
                              </w:rPr>
                              <w:t xml:space="preserve"> – Total de ventas de medicamento</w:t>
                            </w:r>
                            <w:r>
                              <w:rPr>
                                <w:lang w:val="es-ES"/>
                              </w:rPr>
                              <w:t>s con prescripción médica hasta 2020 y ventas en riegos por pérdidas de patentes.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CB2FF" id="Cuadro de texto 457" o:spid="_x0000_s1042" type="#_x0000_t202" style="position:absolute;left:0;text-align:left;margin-left:0;margin-top:245.15pt;width:423pt;height:.05pt;z-index:251680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" stroked="f">
                <v:textbox style="mso-fit-shape-to-text:t" inset="0,0,0,0">
                  <w:txbxContent>
                    <w:p w14:paraId="45D63984" w14:textId="2330ECDF" w:rsidR="00A5627F" w:rsidRPr="003F6C7E" w:rsidRDefault="00A5627F" w:rsidP="003F6C7E">
                      <w:pPr>
                        <w:pStyle w:val="Descripcin"/>
                        <w:jc w:val="center"/>
                        <w:rPr>
                          <w:noProof/>
                          <w:lang w:val="es-ES"/>
                        </w:rPr>
                      </w:pPr>
                      <w:bookmarkStart w:id="86" w:name="_Toc400525293"/>
                      <w:r w:rsidRPr="003F6C7E">
                        <w:rPr>
                          <w:lang w:val="es-ES"/>
                        </w:rPr>
                        <w:t xml:space="preserve">Ilustración </w:t>
                      </w:r>
                      <w:r>
                        <w:fldChar w:fldCharType="begin"/>
                      </w:r>
                      <w:r w:rsidRPr="003F6C7E">
                        <w:rPr>
                          <w:lang w:val="es-ES"/>
                        </w:rPr>
                        <w:instrText xml:space="preserve"> SEQ Ilustración \* ARABIC </w:instrText>
                      </w:r>
                      <w:r>
                        <w:fldChar w:fldCharType="separate"/>
                      </w:r>
                      <w:r w:rsidR="0099684C">
                        <w:rPr>
                          <w:noProof/>
                          <w:lang w:val="es-ES"/>
                        </w:rPr>
                        <w:t>18</w:t>
                      </w:r>
                      <w:r>
                        <w:fldChar w:fldCharType="end"/>
                      </w:r>
                      <w:r w:rsidRPr="003F6C7E">
                        <w:rPr>
                          <w:lang w:val="es-ES"/>
                        </w:rPr>
                        <w:t xml:space="preserve"> – Total de ventas de medicamento</w:t>
                      </w:r>
                      <w:r>
                        <w:rPr>
                          <w:lang w:val="es-ES"/>
                        </w:rPr>
                        <w:t>s con prescripción médica hasta 2020 y ventas en riegos por pérdidas de patentes.</w:t>
                      </w:r>
                      <w:bookmarkEnd w:id="86"/>
                    </w:p>
                  </w:txbxContent>
                </v:textbox>
                <w10:wrap type="square" anchorx="margin"/>
              </v:shape>
            </w:pict>
          </mc:Fallback>
        </mc:AlternateContent>
      </w:r>
      <w:r>
        <w:rPr>
          <w:noProof/>
          <w:lang w:val="es-ES" w:eastAsia="es-ES"/>
        </w:rPr>
        <w:drawing>
          <wp:anchor distT="0" distB="0" distL="114300" distR="114300" simplePos="0" relativeHeight="251682304" behindDoc="1" locked="0" layoutInCell="1" allowOverlap="1" wp14:anchorId="52EF01A0" wp14:editId="14C4665F">
            <wp:simplePos x="0" y="0"/>
            <wp:positionH relativeFrom="margin">
              <wp:posOffset>-8890</wp:posOffset>
            </wp:positionH>
            <wp:positionV relativeFrom="paragraph">
              <wp:posOffset>221615</wp:posOffset>
            </wp:positionV>
            <wp:extent cx="5372100" cy="2847975"/>
            <wp:effectExtent l="19050" t="19050" r="19050" b="28575"/>
            <wp:wrapTight wrapText="bothSides">
              <wp:wrapPolygon edited="0">
                <wp:start x="-77" y="-144"/>
                <wp:lineTo x="-77" y="21672"/>
                <wp:lineTo x="21600" y="21672"/>
                <wp:lineTo x="21600" y="-144"/>
                <wp:lineTo x="-77" y="-144"/>
              </wp:wrapPolygon>
            </wp:wrapTight>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Captura de pantalla (79).png"/>
                    <pic:cNvPicPr/>
                  </pic:nvPicPr>
                  <pic:blipFill rotWithShape="1">
                    <a:blip r:embed="rId32">
                      <a:extLst>
                        <a:ext uri="{28A0092B-C50C-407E-A947-70E740481C1C}">
                          <a14:useLocalDpi xmlns:a14="http://schemas.microsoft.com/office/drawing/2010/main" val="0"/>
                        </a:ext>
                      </a:extLst>
                    </a:blip>
                    <a:srcRect l="23287" t="6657" r="24679" b="21705"/>
                    <a:stretch/>
                  </pic:blipFill>
                  <pic:spPr bwMode="auto">
                    <a:xfrm>
                      <a:off x="0" y="0"/>
                      <a:ext cx="5372100" cy="2847975"/>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FC657" w14:textId="77777777" w:rsidR="00275CEA" w:rsidRDefault="00275CEA" w:rsidP="00CE7A9C">
      <w:pPr>
        <w:pStyle w:val="Prrafodelista"/>
        <w:keepNext/>
        <w:ind w:left="0"/>
        <w:rPr>
          <w:lang w:val="es-ES"/>
        </w:rPr>
      </w:pPr>
    </w:p>
    <w:p w14:paraId="74314AA2" w14:textId="1D843CB4" w:rsidR="00CE7A9C" w:rsidRDefault="003F6C7E" w:rsidP="00B83CF2">
      <w:pPr>
        <w:pStyle w:val="Prrafodelista"/>
        <w:keepNext/>
        <w:ind w:left="0" w:firstLine="360"/>
        <w:rPr>
          <w:lang w:val="es-ES"/>
        </w:rPr>
      </w:pPr>
      <w:r w:rsidRPr="003F6C7E">
        <w:rPr>
          <w:lang w:val="es-ES"/>
        </w:rPr>
        <w:t>Por su parte, l</w:t>
      </w:r>
      <w:r w:rsidR="00B83CF2">
        <w:rPr>
          <w:lang w:val="es-ES"/>
        </w:rPr>
        <w:t>os gráficos</w:t>
      </w:r>
      <w:r w:rsidR="00851FB4">
        <w:rPr>
          <w:lang w:val="es-ES"/>
        </w:rPr>
        <w:t xml:space="preserve"> de arriba</w:t>
      </w:r>
      <w:r w:rsidRPr="003F6C7E">
        <w:rPr>
          <w:lang w:val="es-ES"/>
        </w:rPr>
        <w:t>, publicadas por la web especializada en informaci</w:t>
      </w:r>
      <w:r>
        <w:rPr>
          <w:lang w:val="es-ES"/>
        </w:rPr>
        <w:t xml:space="preserve">ón farmacéutica </w:t>
      </w:r>
      <w:r w:rsidRPr="003F6C7E">
        <w:rPr>
          <w:i/>
          <w:lang w:val="es-ES"/>
        </w:rPr>
        <w:t>“Evaluate Pharma”</w:t>
      </w:r>
      <w:r>
        <w:rPr>
          <w:lang w:val="es-ES"/>
        </w:rPr>
        <w:t xml:space="preserve"> en su informe anual </w:t>
      </w:r>
      <w:r w:rsidRPr="003F6C7E">
        <w:rPr>
          <w:i/>
          <w:lang w:val="es-ES"/>
        </w:rPr>
        <w:t>“World preview 2014, Outlook 2020”</w:t>
      </w:r>
      <w:r>
        <w:rPr>
          <w:lang w:val="es-ES"/>
        </w:rPr>
        <w:t xml:space="preserve"> </w:t>
      </w:r>
      <w:r w:rsidRPr="003F6C7E">
        <w:rPr>
          <w:lang w:val="es-ES"/>
        </w:rPr>
        <w:t xml:space="preserve"> </w:t>
      </w:r>
      <w:r>
        <w:rPr>
          <w:lang w:val="es-ES"/>
        </w:rPr>
        <w:t>nos muestran la evolución que se espera de la ventas de los medicamentos con prescripción médica hasta 2020 y de éstas que volumen total se encontrará en riesgo debido a la perdida de patentes.</w:t>
      </w:r>
      <w:r w:rsidR="00851FB4">
        <w:rPr>
          <w:lang w:val="es-ES"/>
        </w:rPr>
        <w:br w:type="page"/>
      </w:r>
    </w:p>
    <w:p w14:paraId="4FBAF2DE" w14:textId="4342D7B4" w:rsidR="00851FB4" w:rsidRDefault="00851FB4" w:rsidP="00851FB4">
      <w:pPr>
        <w:pStyle w:val="Etiquetadefilas"/>
        <w:numPr>
          <w:ilvl w:val="0"/>
          <w:numId w:val="15"/>
        </w:numPr>
        <w:spacing w:before="0"/>
        <w:ind w:left="567" w:hanging="567"/>
        <w:rPr>
          <w:rFonts w:ascii="Arial" w:hAnsi="Arial" w:cs="Arial"/>
          <w:color w:val="FF0000"/>
          <w:szCs w:val="22"/>
        </w:rPr>
      </w:pPr>
      <w:bookmarkStart w:id="87" w:name="_Toc400525395"/>
      <w:r w:rsidRPr="00851FB4">
        <w:rPr>
          <w:rFonts w:ascii="Arial" w:hAnsi="Arial" w:cs="Arial"/>
          <w:color w:val="FF0000"/>
          <w:szCs w:val="22"/>
        </w:rPr>
        <w:lastRenderedPageBreak/>
        <w:t>PRÁCTICAS DE EVERGREENING.</w:t>
      </w:r>
      <w:bookmarkEnd w:id="87"/>
    </w:p>
    <w:p w14:paraId="2CCCAE2E" w14:textId="77777777" w:rsidR="00851FB4" w:rsidRPr="00851FB4" w:rsidRDefault="00851FB4" w:rsidP="00851FB4">
      <w:pPr>
        <w:pStyle w:val="Prrafodelista"/>
        <w:keepNext/>
        <w:ind w:left="0"/>
        <w:rPr>
          <w:lang w:val="es-ES"/>
        </w:rPr>
      </w:pPr>
    </w:p>
    <w:p w14:paraId="6E5466DD" w14:textId="22E45DDE" w:rsidR="002A2238" w:rsidRDefault="006061ED" w:rsidP="002A2238">
      <w:pPr>
        <w:pStyle w:val="Ttulo2"/>
        <w:rPr>
          <w:lang w:val="es-ES"/>
        </w:rPr>
      </w:pPr>
      <w:bookmarkStart w:id="88" w:name="_Toc400525396"/>
      <w:r>
        <w:rPr>
          <w:lang w:val="es-ES"/>
        </w:rPr>
        <w:t>5.1</w:t>
      </w:r>
      <w:r w:rsidR="002A2238">
        <w:rPr>
          <w:lang w:val="es-ES"/>
        </w:rPr>
        <w:t>. Evergreening. Introducción.</w:t>
      </w:r>
      <w:bookmarkEnd w:id="88"/>
    </w:p>
    <w:p w14:paraId="36FB2E83" w14:textId="77777777" w:rsidR="002A2238" w:rsidRDefault="002A2238" w:rsidP="002A2238">
      <w:pPr>
        <w:pStyle w:val="Prrafodelista"/>
        <w:keepNext/>
        <w:ind w:left="0"/>
        <w:rPr>
          <w:lang w:val="es-ES"/>
        </w:rPr>
      </w:pPr>
    </w:p>
    <w:p w14:paraId="7501786C" w14:textId="1013A4C3" w:rsidR="002A2238" w:rsidRPr="0050693B" w:rsidRDefault="002A2238" w:rsidP="00B83CF2">
      <w:pPr>
        <w:pStyle w:val="Prrafodelista"/>
        <w:keepNext/>
        <w:ind w:left="0" w:firstLine="360"/>
        <w:rPr>
          <w:lang w:val="es-ES"/>
        </w:rPr>
      </w:pPr>
      <w:r w:rsidRPr="002A2238">
        <w:rPr>
          <w:lang w:val="es-ES"/>
        </w:rPr>
        <w:t>Se conoce como evergreening a la variedad de estrategias que ejercitan los propietarios de patentes cuando sus valiosos derechos de propiedad intelectual están a punto de expirar. Estas estrategias tienden a tratar la situación de privilegio en la que se encuentran frente a sus competidores durante el mayor tiempo posible. Este tipo de prácticas son especialmente frecuentes en la industria farmacéutica. En el momento de la llegada a término de la patente, las compañías innovadoras han de hacer frente a la competencia proveniente de las compañías que fabrican fármacos genéricos que en la mayoría de los casos provocan que la demanda y el precio de los productos de marca bajen sustancialmente. Con el objetivo de hacer frente a esta competencia las compañías innovadoras lanzan una serie de contramedidas para proteger su posición en el mercado.</w:t>
      </w:r>
      <w:r>
        <w:rPr>
          <w:lang w:val="es-ES"/>
        </w:rPr>
        <w:t xml:space="preserve"> Estas contramedidas serán analizadas en los próximos epígrafes del presente documento.</w:t>
      </w:r>
    </w:p>
    <w:p w14:paraId="5CA49751" w14:textId="77777777" w:rsidR="00040CD7" w:rsidRDefault="00040CD7" w:rsidP="00040CD7">
      <w:pPr>
        <w:ind w:left="0"/>
        <w:rPr>
          <w:lang w:val="es-ES"/>
        </w:rPr>
      </w:pPr>
    </w:p>
    <w:p w14:paraId="0A927846" w14:textId="1267FFA9" w:rsidR="00040CD7" w:rsidRDefault="00040CD7" w:rsidP="00B83CF2">
      <w:pPr>
        <w:ind w:left="0" w:firstLine="360"/>
        <w:rPr>
          <w:lang w:val="es-ES"/>
        </w:rPr>
      </w:pPr>
      <w:r>
        <w:rPr>
          <w:lang w:val="es-ES"/>
        </w:rPr>
        <w:t xml:space="preserve">El evergreening no es </w:t>
      </w:r>
      <w:r w:rsidR="003F54EC">
        <w:rPr>
          <w:lang w:val="es-ES"/>
        </w:rPr>
        <w:t>un concepto legalmente definido si no que se refiere a una multitud de métodos, que ya pueden ser legales o ilegales, adoptados por las compañías farmacéuticas con el objetivo de extender sus derechos de propiedad intelectual o los beneficios económicos aportados por estos. Estos métodos pueden ser parte de las estrategias de una compañía para limitar la competencia por parte de los productores de genéricos o para potenciar su capacidad de negociación frente a otros tenedores de patentes.</w:t>
      </w:r>
    </w:p>
    <w:p w14:paraId="3979D833" w14:textId="77777777" w:rsidR="003F54EC" w:rsidRDefault="003F54EC" w:rsidP="00040CD7">
      <w:pPr>
        <w:ind w:left="0"/>
        <w:rPr>
          <w:lang w:val="es-ES"/>
        </w:rPr>
      </w:pPr>
    </w:p>
    <w:p w14:paraId="750C6A85" w14:textId="3EC2D414" w:rsidR="003F54EC" w:rsidRDefault="003F54EC" w:rsidP="00B83CF2">
      <w:pPr>
        <w:ind w:left="0" w:firstLine="360"/>
        <w:rPr>
          <w:lang w:val="es-ES"/>
        </w:rPr>
      </w:pPr>
      <w:r>
        <w:rPr>
          <w:lang w:val="es-ES"/>
        </w:rPr>
        <w:t>El término evergreening puede ser considerado como peyorativo desde ciertas partes de la industria farmacéutica, que consideran que usando este término se da por hecho que actividades como el desarrollo de fármacos de segunda generación (con el consiguiente gasto en I+D que esto conlleva) son en todos los casos sistemas usados para extender de una manera ilegal o anticompetitiva los derechos de propiedad intelectual.</w:t>
      </w:r>
    </w:p>
    <w:p w14:paraId="2F3C7E37" w14:textId="77777777" w:rsidR="0052774F" w:rsidRDefault="0052774F" w:rsidP="00040CD7">
      <w:pPr>
        <w:ind w:left="0"/>
        <w:rPr>
          <w:lang w:val="es-ES"/>
        </w:rPr>
      </w:pPr>
    </w:p>
    <w:p w14:paraId="36A5BDAD" w14:textId="2A514A00" w:rsidR="0052774F" w:rsidRPr="00040CD7" w:rsidRDefault="0052774F" w:rsidP="00B83CF2">
      <w:pPr>
        <w:ind w:left="0" w:firstLine="360"/>
        <w:rPr>
          <w:lang w:val="es-ES"/>
        </w:rPr>
      </w:pPr>
      <w:r>
        <w:rPr>
          <w:lang w:val="es-ES"/>
        </w:rPr>
        <w:t xml:space="preserve">Quede claro que en este documento se usa este término porque es el más habitualmente utilizado para describir las prácticas explicadas anteriormente y, por supuesto, no se usa con  ningún tipo de intención despectiva. </w:t>
      </w:r>
    </w:p>
    <w:p w14:paraId="03BF5399" w14:textId="77777777" w:rsidR="002A2238" w:rsidRDefault="002A2238" w:rsidP="00631FCE">
      <w:pPr>
        <w:pStyle w:val="Ttulo2"/>
        <w:rPr>
          <w:lang w:val="es-ES"/>
        </w:rPr>
      </w:pPr>
    </w:p>
    <w:p w14:paraId="3D10F1BE" w14:textId="1956D5D6" w:rsidR="00631FCE" w:rsidRDefault="006061ED" w:rsidP="00631FCE">
      <w:pPr>
        <w:pStyle w:val="Ttulo2"/>
        <w:rPr>
          <w:lang w:val="es-ES"/>
        </w:rPr>
      </w:pPr>
      <w:bookmarkStart w:id="89" w:name="_Toc400525397"/>
      <w:r>
        <w:rPr>
          <w:lang w:val="es-ES"/>
        </w:rPr>
        <w:t>5.2</w:t>
      </w:r>
      <w:r w:rsidR="00631FCE">
        <w:rPr>
          <w:lang w:val="es-ES"/>
        </w:rPr>
        <w:t>. Derecho</w:t>
      </w:r>
      <w:r w:rsidR="002972FB">
        <w:rPr>
          <w:lang w:val="es-ES"/>
        </w:rPr>
        <w:t xml:space="preserve">s de propiedad intelectual Vs </w:t>
      </w:r>
      <w:r w:rsidR="0050693B">
        <w:rPr>
          <w:lang w:val="es-ES"/>
        </w:rPr>
        <w:t xml:space="preserve">derecho de </w:t>
      </w:r>
      <w:r w:rsidR="00631FCE">
        <w:rPr>
          <w:lang w:val="es-ES"/>
        </w:rPr>
        <w:t>la competencia.</w:t>
      </w:r>
      <w:bookmarkEnd w:id="89"/>
    </w:p>
    <w:p w14:paraId="5B7F068C" w14:textId="77777777" w:rsidR="00631FCE" w:rsidRDefault="00631FCE" w:rsidP="00851FB4">
      <w:pPr>
        <w:pStyle w:val="Prrafodelista"/>
        <w:keepNext/>
        <w:ind w:left="0"/>
        <w:rPr>
          <w:lang w:val="es-ES"/>
        </w:rPr>
      </w:pPr>
    </w:p>
    <w:p w14:paraId="0ECBA081" w14:textId="7D3EA652" w:rsidR="00851FB4" w:rsidRDefault="00631FCE" w:rsidP="00B83CF2">
      <w:pPr>
        <w:pStyle w:val="Prrafodelista"/>
        <w:keepNext/>
        <w:ind w:left="0" w:firstLine="360"/>
        <w:rPr>
          <w:lang w:val="es-ES"/>
        </w:rPr>
      </w:pPr>
      <w:r>
        <w:rPr>
          <w:lang w:val="es-ES"/>
        </w:rPr>
        <w:t>E</w:t>
      </w:r>
      <w:r w:rsidR="00DA0085">
        <w:rPr>
          <w:lang w:val="es-ES"/>
        </w:rPr>
        <w:t>l sector farmacéutico está influenciado por diferentes disciplinas del de</w:t>
      </w:r>
      <w:r w:rsidR="00B83CF2">
        <w:rPr>
          <w:lang w:val="es-ES"/>
        </w:rPr>
        <w:t>recho, entre las que destacan</w:t>
      </w:r>
      <w:r w:rsidR="00DA0085">
        <w:rPr>
          <w:lang w:val="es-ES"/>
        </w:rPr>
        <w:t xml:space="preserve"> las leyes de propiedad intelectual y las regulatorias de las agencias competentes en cada territorio. A estas dos también habría que sumarle las leyes para la defensa de la competencia. Estás áreas del derecho tienen objetivos distintos pero que se han de unificar para que se dé el clima adecuado para la innovación y la creación de mejores medicamentos.</w:t>
      </w:r>
    </w:p>
    <w:p w14:paraId="4587A3D6" w14:textId="77777777" w:rsidR="00631FCE" w:rsidRDefault="00631FCE" w:rsidP="00851FB4">
      <w:pPr>
        <w:pStyle w:val="Prrafodelista"/>
        <w:keepNext/>
        <w:ind w:left="0"/>
        <w:rPr>
          <w:lang w:val="es-ES"/>
        </w:rPr>
      </w:pPr>
    </w:p>
    <w:p w14:paraId="43FB7B16" w14:textId="097E4231" w:rsidR="00631FCE" w:rsidRDefault="00631FCE" w:rsidP="00B83CF2">
      <w:pPr>
        <w:pStyle w:val="Prrafodelista"/>
        <w:keepNext/>
        <w:ind w:left="0" w:firstLine="360"/>
        <w:rPr>
          <w:lang w:val="es-ES"/>
        </w:rPr>
      </w:pPr>
      <w:r>
        <w:rPr>
          <w:lang w:val="es-ES"/>
        </w:rPr>
        <w:t>La relación entre los derechos de propiedad intelectual y las leyes sobre la competencia llevan un largo tiempo generando un agitado debate. Los derechos de IP conceden un derecho exclusivo de explotación a su propietario mientras que el objetivo de la defensa de la competencia es mantener e</w:t>
      </w:r>
      <w:r w:rsidR="00F61E10">
        <w:rPr>
          <w:lang w:val="es-ES"/>
        </w:rPr>
        <w:t>l</w:t>
      </w:r>
      <w:r>
        <w:rPr>
          <w:lang w:val="es-ES"/>
        </w:rPr>
        <w:t xml:space="preserve"> mercado los m</w:t>
      </w:r>
      <w:r w:rsidR="00A35DFC">
        <w:rPr>
          <w:lang w:val="es-ES"/>
        </w:rPr>
        <w:t>ás libre posible de trabas al libre mercado</w:t>
      </w:r>
      <w:r>
        <w:rPr>
          <w:lang w:val="es-ES"/>
        </w:rPr>
        <w:t xml:space="preserve">. </w:t>
      </w:r>
      <w:r w:rsidR="002972FB">
        <w:rPr>
          <w:lang w:val="es-ES"/>
        </w:rPr>
        <w:t xml:space="preserve">Dependiendo de las circunstancias como, por ejemplo, la existencia de productos sustitutivos, el patentado podrá gozar de una situación monopolística o por lo menos de un claro dominio del mercado. Desde el punto de vista de la defensa de la competencia esta situación genera cuanto menos cierta preocupación respecto al abuso en que puedan cometer las personas que se encuentren en la mencionada posesión de dominio. El art. 102 del Tratado de Funcionamiento de la Unión Europea (TFUE) entra </w:t>
      </w:r>
      <w:r w:rsidR="002972FB">
        <w:rPr>
          <w:lang w:val="es-ES"/>
        </w:rPr>
        <w:lastRenderedPageBreak/>
        <w:t>entonces en juego para limitar el posible daño a la libre competencia y la libertad de acción a los propietarios de derechos de propiedad intelectual.</w:t>
      </w:r>
      <w:r w:rsidR="0050689C">
        <w:rPr>
          <w:lang w:val="es-ES"/>
        </w:rPr>
        <w:t xml:space="preserve"> El  art. 102 del TFUE dice así:</w:t>
      </w:r>
    </w:p>
    <w:p w14:paraId="0567C4F4" w14:textId="77777777" w:rsidR="0050689C" w:rsidRDefault="0050689C" w:rsidP="00851FB4">
      <w:pPr>
        <w:pStyle w:val="Prrafodelista"/>
        <w:keepNext/>
        <w:ind w:left="0"/>
        <w:rPr>
          <w:lang w:val="es-ES"/>
        </w:rPr>
      </w:pPr>
    </w:p>
    <w:p w14:paraId="3997720E" w14:textId="59FC3285" w:rsidR="0050689C" w:rsidRPr="0050689C" w:rsidRDefault="0050689C" w:rsidP="0050689C">
      <w:pPr>
        <w:keepNext/>
        <w:ind w:left="567" w:right="567"/>
        <w:rPr>
          <w:i/>
          <w:lang w:val="es-ES"/>
        </w:rPr>
      </w:pPr>
      <w:r w:rsidRPr="0050689C">
        <w:rPr>
          <w:i/>
          <w:lang w:val="es-ES"/>
        </w:rPr>
        <w:t>“Será incompatible con el mercado interior y quedará prohibida, en la medida en que pueda afectar al comercio entre los Estados miembros, la explotación abusiva, por parte de una o más empresas, de una posición dominante en el mercado interior o en una parte sustancial del mismo.</w:t>
      </w:r>
    </w:p>
    <w:p w14:paraId="3FE87616" w14:textId="77777777" w:rsidR="0050689C" w:rsidRPr="0050689C" w:rsidRDefault="0050689C" w:rsidP="0050689C">
      <w:pPr>
        <w:keepNext/>
        <w:ind w:left="567" w:right="567"/>
        <w:rPr>
          <w:i/>
          <w:lang w:val="es-ES"/>
        </w:rPr>
      </w:pPr>
    </w:p>
    <w:p w14:paraId="01FF6013" w14:textId="77777777" w:rsidR="0050689C" w:rsidRPr="0050689C" w:rsidRDefault="0050689C" w:rsidP="0050689C">
      <w:pPr>
        <w:keepNext/>
        <w:ind w:left="567" w:right="567"/>
        <w:rPr>
          <w:i/>
          <w:lang w:val="es-ES"/>
        </w:rPr>
      </w:pPr>
      <w:r w:rsidRPr="0050689C">
        <w:rPr>
          <w:i/>
          <w:lang w:val="es-ES"/>
        </w:rPr>
        <w:t>Tales prácticas abusivas podrán consistir, particularmente, en:</w:t>
      </w:r>
    </w:p>
    <w:p w14:paraId="54070541" w14:textId="77777777" w:rsidR="0050689C" w:rsidRPr="0050689C" w:rsidRDefault="0050689C" w:rsidP="0050689C">
      <w:pPr>
        <w:pStyle w:val="Prrafodelista"/>
        <w:keepNext/>
        <w:ind w:left="567" w:right="567"/>
        <w:rPr>
          <w:i/>
          <w:lang w:val="es-ES"/>
        </w:rPr>
      </w:pPr>
    </w:p>
    <w:p w14:paraId="3D157C57" w14:textId="77777777" w:rsidR="0050689C" w:rsidRPr="0050689C" w:rsidRDefault="0050689C" w:rsidP="0050689C">
      <w:pPr>
        <w:pStyle w:val="Prrafodelista"/>
        <w:keepNext/>
        <w:numPr>
          <w:ilvl w:val="0"/>
          <w:numId w:val="35"/>
        </w:numPr>
        <w:tabs>
          <w:tab w:val="clear" w:pos="720"/>
          <w:tab w:val="num" w:pos="993"/>
        </w:tabs>
        <w:ind w:left="993" w:right="567" w:hanging="426"/>
        <w:rPr>
          <w:i/>
          <w:lang w:val="es-ES"/>
        </w:rPr>
      </w:pPr>
      <w:r w:rsidRPr="0050689C">
        <w:rPr>
          <w:i/>
          <w:lang w:val="es-ES"/>
        </w:rPr>
        <w:t>imponer directa o indirectamente precios de compra, de venta u otras condiciones de transacción no equitativas;</w:t>
      </w:r>
    </w:p>
    <w:p w14:paraId="7C4FDB5D" w14:textId="77777777" w:rsidR="0050689C" w:rsidRPr="00040CD7" w:rsidRDefault="0050689C" w:rsidP="0050689C">
      <w:pPr>
        <w:pStyle w:val="Prrafodelista"/>
        <w:keepNext/>
        <w:numPr>
          <w:ilvl w:val="0"/>
          <w:numId w:val="35"/>
        </w:numPr>
        <w:tabs>
          <w:tab w:val="clear" w:pos="720"/>
          <w:tab w:val="num" w:pos="993"/>
        </w:tabs>
        <w:ind w:left="993" w:right="567" w:hanging="426"/>
        <w:rPr>
          <w:i/>
          <w:lang w:val="es-ES"/>
        </w:rPr>
      </w:pPr>
      <w:r w:rsidRPr="00040CD7">
        <w:rPr>
          <w:i/>
          <w:lang w:val="es-ES"/>
        </w:rPr>
        <w:t>limitar la producción, el mercado o el desarrollo técnico en perjuicio de los consumidores;</w:t>
      </w:r>
    </w:p>
    <w:p w14:paraId="1E9F73C0" w14:textId="77777777" w:rsidR="0050689C" w:rsidRPr="0050689C" w:rsidRDefault="0050689C" w:rsidP="0050689C">
      <w:pPr>
        <w:pStyle w:val="Prrafodelista"/>
        <w:keepNext/>
        <w:numPr>
          <w:ilvl w:val="0"/>
          <w:numId w:val="35"/>
        </w:numPr>
        <w:tabs>
          <w:tab w:val="clear" w:pos="720"/>
          <w:tab w:val="num" w:pos="993"/>
        </w:tabs>
        <w:ind w:left="993" w:right="567" w:hanging="426"/>
        <w:rPr>
          <w:i/>
          <w:lang w:val="es-ES"/>
        </w:rPr>
      </w:pPr>
      <w:r w:rsidRPr="0050689C">
        <w:rPr>
          <w:i/>
          <w:lang w:val="es-ES"/>
        </w:rPr>
        <w:t>aplicar a terceros contratantes condiciones desiguales para prestaciones equivalentes, que ocasionen a éstos una desventaja competitiva;</w:t>
      </w:r>
    </w:p>
    <w:p w14:paraId="6628550E" w14:textId="45F85B87" w:rsidR="0050689C" w:rsidRPr="0050689C" w:rsidRDefault="0050689C" w:rsidP="0050689C">
      <w:pPr>
        <w:pStyle w:val="Prrafodelista"/>
        <w:keepNext/>
        <w:numPr>
          <w:ilvl w:val="0"/>
          <w:numId w:val="35"/>
        </w:numPr>
        <w:tabs>
          <w:tab w:val="clear" w:pos="720"/>
          <w:tab w:val="num" w:pos="993"/>
        </w:tabs>
        <w:ind w:left="993" w:right="567" w:hanging="426"/>
        <w:rPr>
          <w:i/>
          <w:lang w:val="es-ES"/>
        </w:rPr>
      </w:pPr>
      <w:r w:rsidRPr="0050689C">
        <w:rPr>
          <w:i/>
          <w:lang w:val="es-ES"/>
        </w:rPr>
        <w:t>subordinar la celebración de contratos a la aceptación, por los otros contratantes, de prestaciones suplementarias que, por su naturaleza o según los usos mercantiles, no guarden relación alguna con el objeto de dichos contratos.”</w:t>
      </w:r>
    </w:p>
    <w:p w14:paraId="40303D31" w14:textId="69D12803" w:rsidR="002972FB" w:rsidRDefault="002972FB" w:rsidP="00851FB4">
      <w:pPr>
        <w:pStyle w:val="Prrafodelista"/>
        <w:keepNext/>
        <w:ind w:left="0"/>
        <w:rPr>
          <w:lang w:val="es-ES"/>
        </w:rPr>
      </w:pPr>
    </w:p>
    <w:p w14:paraId="2E3CD5F9" w14:textId="4D680484" w:rsidR="002972FB" w:rsidRDefault="00040CD7" w:rsidP="00B83CF2">
      <w:pPr>
        <w:pStyle w:val="Prrafodelista"/>
        <w:keepNext/>
        <w:ind w:left="0" w:firstLine="360"/>
        <w:rPr>
          <w:lang w:val="es-ES"/>
        </w:rPr>
      </w:pPr>
      <w:r>
        <w:rPr>
          <w:lang w:val="es-ES"/>
        </w:rPr>
        <w:t>Las prácticas de “evergreening” son una nueva forma de abuso que podrían entrar dentro del campo de las conductas descritas en el art. 102. Para que se dé el posible abuso es necesario que exista previamente una posición de dominio en el mercado. Cuando se describan las posibles conductas abusivas en este documento, con el objetivo de simplificar las situaciones, se dará por hecho que la posición de dominio es un hecho irrefutable.</w:t>
      </w:r>
    </w:p>
    <w:p w14:paraId="68CE4CDF" w14:textId="77777777" w:rsidR="0052774F" w:rsidRDefault="0052774F" w:rsidP="00851FB4">
      <w:pPr>
        <w:pStyle w:val="Prrafodelista"/>
        <w:keepNext/>
        <w:ind w:left="0"/>
        <w:rPr>
          <w:lang w:val="es-ES"/>
        </w:rPr>
      </w:pPr>
    </w:p>
    <w:p w14:paraId="2AE6C16B" w14:textId="4597DC0C" w:rsidR="0052774F" w:rsidRDefault="0052774F" w:rsidP="0052774F">
      <w:pPr>
        <w:pStyle w:val="Ttulo2"/>
        <w:rPr>
          <w:lang w:val="es-ES"/>
        </w:rPr>
      </w:pPr>
      <w:bookmarkStart w:id="90" w:name="_Toc400525398"/>
      <w:r>
        <w:rPr>
          <w:lang w:val="es-ES"/>
        </w:rPr>
        <w:t>5.3. Ab</w:t>
      </w:r>
      <w:r w:rsidR="00DC5035">
        <w:rPr>
          <w:lang w:val="es-ES"/>
        </w:rPr>
        <w:t>uso</w:t>
      </w:r>
      <w:r>
        <w:rPr>
          <w:lang w:val="es-ES"/>
        </w:rPr>
        <w:t xml:space="preserve"> de posición de dominio y evergreening.</w:t>
      </w:r>
      <w:bookmarkEnd w:id="90"/>
    </w:p>
    <w:p w14:paraId="68EB0A50" w14:textId="77777777" w:rsidR="0052774F" w:rsidRDefault="0052774F" w:rsidP="00851FB4">
      <w:pPr>
        <w:pStyle w:val="Prrafodelista"/>
        <w:keepNext/>
        <w:ind w:left="0"/>
        <w:rPr>
          <w:lang w:val="es-ES"/>
        </w:rPr>
      </w:pPr>
    </w:p>
    <w:p w14:paraId="3FA3011B" w14:textId="4CFBC749" w:rsidR="0052774F" w:rsidRDefault="00DC5035" w:rsidP="00B83CF2">
      <w:pPr>
        <w:pStyle w:val="Prrafodelista"/>
        <w:keepNext/>
        <w:ind w:left="0" w:firstLine="360"/>
        <w:rPr>
          <w:lang w:val="es-ES"/>
        </w:rPr>
      </w:pPr>
      <w:r>
        <w:rPr>
          <w:lang w:val="es-ES"/>
        </w:rPr>
        <w:t>Se ha publicado numerosa doctrina respecto a al art. 102 y al abuso de la posición de dominio, sin embargo la relación entre el evergreening y art. 102 aún no ha quedado totalmente clara. Ante esta situación se ha de examinar cada situación caso por caso, por en la mayoría de las ocasiones la legalidad o ilegalidad de las acciones de evergreening está separada por una delgada línea que es difícil de distinguir. Por tanto se ha de llevar a cabo un exhaustivo ejercicio de ponderación de las circunstancias y de las conductas de los actores. El evergreening como tal no se encuadra exactamente en ninguno de los ejemplos que se dan en el art.102, pero como el propio artículo expresamente dice estos son ejemplos orientativos. Mientras se cumplan los criterios del art. 102 un práctica puede ser considerada como abusiva y por tato puede ser prohibida y sancionada.</w:t>
      </w:r>
    </w:p>
    <w:p w14:paraId="6236021C" w14:textId="77777777" w:rsidR="00DC5035" w:rsidRDefault="00DC5035" w:rsidP="00851FB4">
      <w:pPr>
        <w:pStyle w:val="Prrafodelista"/>
        <w:keepNext/>
        <w:ind w:left="0"/>
        <w:rPr>
          <w:lang w:val="es-ES"/>
        </w:rPr>
      </w:pPr>
    </w:p>
    <w:p w14:paraId="53EC6F31" w14:textId="27EEFB6B" w:rsidR="005E5446" w:rsidRDefault="005E5446" w:rsidP="00B83CF2">
      <w:pPr>
        <w:pStyle w:val="Prrafodelista"/>
        <w:keepNext/>
        <w:ind w:left="0" w:firstLine="360"/>
        <w:rPr>
          <w:lang w:val="es-ES"/>
        </w:rPr>
      </w:pPr>
      <w:r>
        <w:rPr>
          <w:lang w:val="es-ES"/>
        </w:rPr>
        <w:t>Además no encontramos ante el hecho de que en el caso del mercado de productos farmacéuticos éste puede ser fácilmente definido. En la gran mayoría de los casos el propietario de un derecho de patente sobre un producto farmacéutico le da el derecho a éste a explotarlo de manera individual, lo que suele llevar a una situación de monopolio o cuasi monopolio. Y aunque el hecho de tener un derecho de propiedad intelectual no constituye en sí mismo el que se tenga una posición de dominio en el mercado si es habitual que ambas situaciones coincidan.</w:t>
      </w:r>
    </w:p>
    <w:p w14:paraId="45036759" w14:textId="77777777" w:rsidR="005E5446" w:rsidRDefault="005E5446" w:rsidP="00851FB4">
      <w:pPr>
        <w:pStyle w:val="Prrafodelista"/>
        <w:keepNext/>
        <w:ind w:left="0"/>
        <w:rPr>
          <w:lang w:val="es-ES"/>
        </w:rPr>
      </w:pPr>
    </w:p>
    <w:p w14:paraId="37D43192" w14:textId="1F652B03" w:rsidR="00DC5035" w:rsidRDefault="00DC5035" w:rsidP="00B83CF2">
      <w:pPr>
        <w:pStyle w:val="Prrafodelista"/>
        <w:keepNext/>
        <w:ind w:left="0" w:firstLine="360"/>
        <w:rPr>
          <w:lang w:val="es-ES"/>
        </w:rPr>
      </w:pPr>
      <w:r>
        <w:rPr>
          <w:lang w:val="es-ES"/>
        </w:rPr>
        <w:t xml:space="preserve">Mientras no entren en juego la patente unitaria y el Tribunal Unificado de Patentes las patentes seguirán siendo derechos nacionales y por tanto competencia de los correspondientes tribunales de cada Estado Miembro y sus leyes nacionales. </w:t>
      </w:r>
      <w:r w:rsidR="0014287D">
        <w:rPr>
          <w:lang w:val="es-ES"/>
        </w:rPr>
        <w:t xml:space="preserve">Por tanto </w:t>
      </w:r>
      <w:r w:rsidR="0014287D">
        <w:rPr>
          <w:lang w:val="es-ES"/>
        </w:rPr>
        <w:lastRenderedPageBreak/>
        <w:t>la legislación comunitaria no puede cuestionar la legalidad de un derecho de patente. Los propietarios de las patentes juegan esta carta con asiduidad. Consideran que sus conductas no pueden ser vistas como un abuso de una posición de dominio puesto que ellos lo único que están haciendo es ejercitar una serie de derechos que les han sido legalmente otorgados por la correspondientes leyes de propiedad intelectual.</w:t>
      </w:r>
    </w:p>
    <w:p w14:paraId="135AD9E0" w14:textId="77777777" w:rsidR="0014287D" w:rsidRDefault="0014287D" w:rsidP="00851FB4">
      <w:pPr>
        <w:pStyle w:val="Prrafodelista"/>
        <w:keepNext/>
        <w:ind w:left="0"/>
        <w:rPr>
          <w:lang w:val="es-ES"/>
        </w:rPr>
      </w:pPr>
    </w:p>
    <w:p w14:paraId="218591FB" w14:textId="662BBFF9" w:rsidR="0014287D" w:rsidRDefault="00314DBD" w:rsidP="00B83CF2">
      <w:pPr>
        <w:pStyle w:val="Prrafodelista"/>
        <w:keepNext/>
        <w:ind w:left="0" w:firstLine="360"/>
        <w:rPr>
          <w:lang w:val="es-ES"/>
        </w:rPr>
      </w:pPr>
      <w:r>
        <w:rPr>
          <w:lang w:val="es-ES"/>
        </w:rPr>
        <w:t>A diferencia de en otros sectores del abuso de la situación de dominio se da dentro del mercado con la creación de barreras económicas que dificultan la libre competencia, en el sector farmacéutico la barreras se crean fuera del mercado. Las prácticas de evergreening lo que tratan de crear son barreras legales que retrasen o impidan la entrada de los competidores en el mercado. Por lo tanto aunque las prácticas abusivas sean ejercitadas fuera del mercado, como es el caso, siempre y cuando causen sus efectos en el mercado, como también es el caso, dichas conductas pueden ser consideradas como abusivas.</w:t>
      </w:r>
    </w:p>
    <w:p w14:paraId="23B4B260" w14:textId="77777777" w:rsidR="00314DBD" w:rsidRDefault="00314DBD" w:rsidP="00851FB4">
      <w:pPr>
        <w:pStyle w:val="Prrafodelista"/>
        <w:keepNext/>
        <w:ind w:left="0"/>
        <w:rPr>
          <w:lang w:val="es-ES"/>
        </w:rPr>
      </w:pPr>
    </w:p>
    <w:p w14:paraId="60029A27" w14:textId="4CC848ED" w:rsidR="00314DBD" w:rsidRDefault="00314DBD" w:rsidP="00B83CF2">
      <w:pPr>
        <w:pStyle w:val="Prrafodelista"/>
        <w:keepNext/>
        <w:ind w:left="0" w:firstLine="360"/>
        <w:rPr>
          <w:lang w:val="es-ES"/>
        </w:rPr>
      </w:pPr>
      <w:r>
        <w:rPr>
          <w:lang w:val="es-ES"/>
        </w:rPr>
        <w:t xml:space="preserve">El abuso de la posición de dominio es un concepto objetivo para la legislación comunitaria, por lo que la intención </w:t>
      </w:r>
      <w:r w:rsidR="0001592E">
        <w:rPr>
          <w:lang w:val="es-ES"/>
        </w:rPr>
        <w:t xml:space="preserve">manifiesta por parte de los productores de medicamentos innovadores </w:t>
      </w:r>
      <w:r>
        <w:rPr>
          <w:lang w:val="es-ES"/>
        </w:rPr>
        <w:t>de provocar una distorsión en el mercado, impidiendo o retrasando la entrada de la competencia genérica, tampoco es requisito imprescindible para que se pueda aplicar el art. 102.</w:t>
      </w:r>
    </w:p>
    <w:p w14:paraId="16300F51" w14:textId="0F89CA99" w:rsidR="005E5446" w:rsidRDefault="007D08E3" w:rsidP="00851FB4">
      <w:pPr>
        <w:pStyle w:val="Prrafodelista"/>
        <w:keepNext/>
        <w:ind w:left="0"/>
        <w:rPr>
          <w:lang w:val="es-ES"/>
        </w:rPr>
      </w:pPr>
      <w:r>
        <w:rPr>
          <w:lang w:val="es-ES"/>
        </w:rPr>
        <w:br w:type="page"/>
      </w:r>
    </w:p>
    <w:p w14:paraId="67C9A57D" w14:textId="7B7FBDF4" w:rsidR="005E5446" w:rsidRPr="00DA2B1B" w:rsidRDefault="00DA2B1B" w:rsidP="00DA2B1B">
      <w:pPr>
        <w:pStyle w:val="Etiquetadefilas"/>
        <w:numPr>
          <w:ilvl w:val="0"/>
          <w:numId w:val="15"/>
        </w:numPr>
        <w:spacing w:before="0"/>
        <w:ind w:left="567" w:hanging="567"/>
        <w:rPr>
          <w:rFonts w:ascii="Arial" w:hAnsi="Arial" w:cs="Arial"/>
          <w:color w:val="FF0000"/>
          <w:szCs w:val="22"/>
        </w:rPr>
      </w:pPr>
      <w:bookmarkStart w:id="91" w:name="_Toc400525399"/>
      <w:r w:rsidRPr="00DA2B1B">
        <w:rPr>
          <w:rFonts w:ascii="Arial" w:hAnsi="Arial" w:cs="Arial"/>
          <w:color w:val="FF0000"/>
          <w:szCs w:val="22"/>
        </w:rPr>
        <w:lastRenderedPageBreak/>
        <w:t>PRINCIPALES PRÁCTICAS DE EVERGREENING.</w:t>
      </w:r>
      <w:bookmarkEnd w:id="91"/>
    </w:p>
    <w:p w14:paraId="3FC4AF6D" w14:textId="77777777" w:rsidR="002972FB" w:rsidRDefault="002972FB" w:rsidP="00851FB4">
      <w:pPr>
        <w:pStyle w:val="Prrafodelista"/>
        <w:keepNext/>
        <w:ind w:left="0"/>
        <w:rPr>
          <w:lang w:val="es-ES"/>
        </w:rPr>
      </w:pPr>
    </w:p>
    <w:p w14:paraId="00150FB3" w14:textId="06EC78CF" w:rsidR="005E5446" w:rsidRDefault="005E5446" w:rsidP="00B83CF2">
      <w:pPr>
        <w:pStyle w:val="Prrafodelista"/>
        <w:keepNext/>
        <w:ind w:left="0" w:firstLine="360"/>
        <w:rPr>
          <w:lang w:val="es-ES"/>
        </w:rPr>
      </w:pPr>
      <w:r>
        <w:rPr>
          <w:lang w:val="es-ES"/>
        </w:rPr>
        <w:t>En el informe de la Comisión Europea de 2009 “</w:t>
      </w:r>
      <w:r w:rsidRPr="005E5446">
        <w:rPr>
          <w:i/>
          <w:lang w:val="es-ES"/>
        </w:rPr>
        <w:t>Pharma Sector Inquiry</w:t>
      </w:r>
      <w:r>
        <w:rPr>
          <w:lang w:val="es-ES"/>
        </w:rPr>
        <w:t xml:space="preserve">” este ente define al evergreening como un cajón de sastre donde tienen cabida </w:t>
      </w:r>
      <w:r w:rsidR="003D0B29">
        <w:rPr>
          <w:lang w:val="es-ES"/>
        </w:rPr>
        <w:t>todo tipo de prácticas, ya sean legales, ilegales o en la zona gris entre ambas, que retrasan o impiden la entrada de la competencia en el mercado.</w:t>
      </w:r>
      <w:r w:rsidR="00B73735">
        <w:rPr>
          <w:lang w:val="es-ES"/>
        </w:rPr>
        <w:t xml:space="preserve"> A continuación vamos a ver algunas de las más utilizadas y las consecuencias que estas pueden tener en el mercado.</w:t>
      </w:r>
    </w:p>
    <w:p w14:paraId="61153DB0" w14:textId="77777777" w:rsidR="00B73735" w:rsidRDefault="00B73735" w:rsidP="00851FB4">
      <w:pPr>
        <w:pStyle w:val="Prrafodelista"/>
        <w:keepNext/>
        <w:ind w:left="0"/>
        <w:rPr>
          <w:lang w:val="es-ES"/>
        </w:rPr>
      </w:pPr>
    </w:p>
    <w:p w14:paraId="4A96528C" w14:textId="5E1C9FCF" w:rsidR="00851FB4" w:rsidRDefault="00DA2B1B" w:rsidP="00DA2B1B">
      <w:pPr>
        <w:pStyle w:val="Ttulo2"/>
        <w:rPr>
          <w:lang w:val="es-ES"/>
        </w:rPr>
      </w:pPr>
      <w:bookmarkStart w:id="92" w:name="_Toc400525400"/>
      <w:r>
        <w:rPr>
          <w:lang w:val="es-ES"/>
        </w:rPr>
        <w:t>6.</w:t>
      </w:r>
      <w:r w:rsidR="00B73735">
        <w:rPr>
          <w:lang w:val="es-ES"/>
        </w:rPr>
        <w:t>1. Patent Cluster.</w:t>
      </w:r>
      <w:bookmarkEnd w:id="92"/>
    </w:p>
    <w:p w14:paraId="6A08213C" w14:textId="77777777" w:rsidR="00B73735" w:rsidRDefault="00B73735" w:rsidP="00B73735">
      <w:pPr>
        <w:ind w:left="0"/>
        <w:rPr>
          <w:lang w:val="es-ES"/>
        </w:rPr>
      </w:pPr>
    </w:p>
    <w:p w14:paraId="7DC5DA6F" w14:textId="3CDAF08C" w:rsidR="00B73735" w:rsidRDefault="00B73735" w:rsidP="00B83CF2">
      <w:pPr>
        <w:ind w:left="0" w:firstLine="360"/>
        <w:rPr>
          <w:lang w:val="es-ES"/>
        </w:rPr>
      </w:pPr>
      <w:r>
        <w:rPr>
          <w:lang w:val="es-ES"/>
        </w:rPr>
        <w:t xml:space="preserve">El término en inglés </w:t>
      </w:r>
      <w:r w:rsidRPr="00B73735">
        <w:rPr>
          <w:i/>
          <w:lang w:val="es-ES"/>
        </w:rPr>
        <w:t>“patent cluster”</w:t>
      </w:r>
      <w:r>
        <w:rPr>
          <w:lang w:val="es-ES"/>
        </w:rPr>
        <w:t xml:space="preserve"> se podría traducir de una manera literal como </w:t>
      </w:r>
      <w:r w:rsidRPr="00B73735">
        <w:rPr>
          <w:i/>
          <w:lang w:val="es-ES"/>
        </w:rPr>
        <w:t>“patentes en racimo”</w:t>
      </w:r>
      <w:r>
        <w:rPr>
          <w:lang w:val="es-ES"/>
        </w:rPr>
        <w:t xml:space="preserve">. En ocasiones también se utiliza el término </w:t>
      </w:r>
      <w:r w:rsidRPr="00B73735">
        <w:rPr>
          <w:i/>
          <w:lang w:val="es-ES"/>
        </w:rPr>
        <w:t>“patent thicket”</w:t>
      </w:r>
      <w:r>
        <w:rPr>
          <w:lang w:val="es-ES"/>
        </w:rPr>
        <w:t xml:space="preserve"> que podría ser traducido como “</w:t>
      </w:r>
      <w:r w:rsidRPr="00B73735">
        <w:rPr>
          <w:i/>
          <w:lang w:val="es-ES"/>
        </w:rPr>
        <w:t>maraña de patentes”</w:t>
      </w:r>
      <w:r>
        <w:rPr>
          <w:i/>
          <w:lang w:val="es-ES"/>
        </w:rPr>
        <w:t>.</w:t>
      </w:r>
      <w:r>
        <w:rPr>
          <w:lang w:val="es-ES"/>
        </w:rPr>
        <w:t xml:space="preserve"> Pues bien se utiliza este nombre para referirse a la práctica que consiste en hacer una solicitud muy variada y amplia de patentes alrededor de la patente original que protege al compuesto innovador. Estas patentes secundarias suelen cubrir aspectos como la dosis, el proceso de fabricación, la formulación, métodos de suministro, etc.</w:t>
      </w:r>
    </w:p>
    <w:p w14:paraId="52F2F21E" w14:textId="77777777" w:rsidR="00B73735" w:rsidRDefault="00B73735" w:rsidP="00B73735">
      <w:pPr>
        <w:ind w:left="0"/>
        <w:rPr>
          <w:lang w:val="es-ES"/>
        </w:rPr>
      </w:pPr>
    </w:p>
    <w:p w14:paraId="364AFB42" w14:textId="686F94EC" w:rsidR="00B73735" w:rsidRDefault="00B73735" w:rsidP="00B83CF2">
      <w:pPr>
        <w:ind w:left="0" w:firstLine="360"/>
        <w:rPr>
          <w:lang w:val="es-ES"/>
        </w:rPr>
      </w:pPr>
      <w:r>
        <w:rPr>
          <w:lang w:val="es-ES"/>
        </w:rPr>
        <w:t>Es normal que una vez descubierto y patentado el compuesto que puede satisfacer el uso terapéutico buscado por la compañía que lo ha investigado, se desarrollen a su alrededor otra serie de invenciones que continúen la investigación y desarrollo del fármaco. Este tipo de invenciones, como son las nuevas aplicaciones clínicas (que pueden surgir cuando comiencen los ensayos clínicos) o la formulación, si cumplen con la normativa establecida también podrán ser patentadas.</w:t>
      </w:r>
    </w:p>
    <w:p w14:paraId="2ADC7505" w14:textId="77777777" w:rsidR="00B73735" w:rsidRDefault="00B73735" w:rsidP="00B73735">
      <w:pPr>
        <w:ind w:left="0"/>
        <w:rPr>
          <w:lang w:val="es-ES"/>
        </w:rPr>
      </w:pPr>
    </w:p>
    <w:p w14:paraId="0E1E7876" w14:textId="59B91472" w:rsidR="00F81D45" w:rsidRDefault="00F81D45" w:rsidP="00B83CF2">
      <w:pPr>
        <w:ind w:left="0" w:firstLine="360"/>
        <w:rPr>
          <w:lang w:val="es-ES"/>
        </w:rPr>
      </w:pPr>
      <w:r>
        <w:rPr>
          <w:lang w:val="es-ES"/>
        </w:rPr>
        <w:t>Esta conducta puede parecer desde todos los puntos de vista legal puesto que protege los derechos de propiedad intelectual que han sido obtenidos legítimamente y promueve la investigación y desarrollo de nuevas técnicas y productos.</w:t>
      </w:r>
      <w:r w:rsidR="003E0288">
        <w:rPr>
          <w:lang w:val="es-ES"/>
        </w:rPr>
        <w:t xml:space="preserve"> Parece claro que los derechos otorgados por la patente original y las secundarias son igual de válidos, pero se habría de tener en cuenta si estas patentes se solicitan con el único objetivo de distorsionar la libre competencia dentro del mercado.</w:t>
      </w:r>
    </w:p>
    <w:p w14:paraId="3B66BCD0" w14:textId="1836A972" w:rsidR="00284F08" w:rsidRDefault="00284F08" w:rsidP="00B73735">
      <w:pPr>
        <w:ind w:left="0"/>
        <w:rPr>
          <w:lang w:val="es-ES"/>
        </w:rPr>
      </w:pPr>
    </w:p>
    <w:p w14:paraId="51EE95AA" w14:textId="4186F928" w:rsidR="00F81D45" w:rsidRDefault="00284F08" w:rsidP="00B83CF2">
      <w:pPr>
        <w:ind w:left="0" w:firstLine="360"/>
        <w:rPr>
          <w:lang w:val="es-ES"/>
        </w:rPr>
      </w:pPr>
      <w:r>
        <w:rPr>
          <w:noProof/>
          <w:lang w:val="es-ES" w:eastAsia="es-ES"/>
        </w:rPr>
        <mc:AlternateContent>
          <mc:Choice Requires="wps">
            <w:drawing>
              <wp:anchor distT="0" distB="0" distL="114300" distR="114300" simplePos="0" relativeHeight="251698688" behindDoc="1" locked="0" layoutInCell="1" allowOverlap="1" wp14:anchorId="653BBB9B" wp14:editId="0C642E54">
                <wp:simplePos x="0" y="0"/>
                <wp:positionH relativeFrom="margin">
                  <wp:align>right</wp:align>
                </wp:positionH>
                <wp:positionV relativeFrom="paragraph">
                  <wp:posOffset>2615573</wp:posOffset>
                </wp:positionV>
                <wp:extent cx="5435600" cy="635"/>
                <wp:effectExtent l="0" t="0" r="0" b="1905"/>
                <wp:wrapTight wrapText="bothSides">
                  <wp:wrapPolygon edited="0">
                    <wp:start x="0" y="0"/>
                    <wp:lineTo x="0" y="18783"/>
                    <wp:lineTo x="21499" y="18783"/>
                    <wp:lineTo x="21499" y="0"/>
                    <wp:lineTo x="0" y="0"/>
                  </wp:wrapPolygon>
                </wp:wrapTight>
                <wp:docPr id="22" name="Cuadro de texto 22"/>
                <wp:cNvGraphicFramePr/>
                <a:graphic xmlns:a="http://schemas.openxmlformats.org/drawingml/2006/main">
                  <a:graphicData uri="http://schemas.microsoft.com/office/word/2010/wordprocessingShape">
                    <wps:wsp>
                      <wps:cNvSpPr txBox="1"/>
                      <wps:spPr>
                        <a:xfrm>
                          <a:off x="0" y="0"/>
                          <a:ext cx="5435600" cy="635"/>
                        </a:xfrm>
                        <a:prstGeom prst="rect">
                          <a:avLst/>
                        </a:prstGeom>
                        <a:solidFill>
                          <a:prstClr val="white"/>
                        </a:solidFill>
                        <a:ln>
                          <a:noFill/>
                        </a:ln>
                        <a:effectLst/>
                      </wps:spPr>
                      <wps:txbx>
                        <w:txbxContent>
                          <w:p w14:paraId="3C28971E" w14:textId="3737A63F" w:rsidR="00A5627F" w:rsidRPr="00D32546" w:rsidRDefault="00A5627F" w:rsidP="00D32546">
                            <w:pPr>
                              <w:pStyle w:val="Descripcin"/>
                              <w:jc w:val="center"/>
                              <w:rPr>
                                <w:lang w:val="es-ES"/>
                              </w:rPr>
                            </w:pPr>
                            <w:bookmarkStart w:id="93" w:name="_Toc400525294"/>
                            <w:r w:rsidRPr="00D32546">
                              <w:rPr>
                                <w:lang w:val="es-ES"/>
                              </w:rPr>
                              <w:t xml:space="preserve">Ilustración </w:t>
                            </w:r>
                            <w:r>
                              <w:fldChar w:fldCharType="begin"/>
                            </w:r>
                            <w:r w:rsidRPr="00D32546">
                              <w:rPr>
                                <w:lang w:val="es-ES"/>
                              </w:rPr>
                              <w:instrText xml:space="preserve"> SEQ Ilustración \* ARABIC </w:instrText>
                            </w:r>
                            <w:r>
                              <w:fldChar w:fldCharType="separate"/>
                            </w:r>
                            <w:r w:rsidR="0099684C">
                              <w:rPr>
                                <w:noProof/>
                                <w:lang w:val="es-ES"/>
                              </w:rPr>
                              <w:t>19</w:t>
                            </w:r>
                            <w:r>
                              <w:fldChar w:fldCharType="end"/>
                            </w:r>
                            <w:r w:rsidRPr="00D32546">
                              <w:rPr>
                                <w:lang w:val="es-ES"/>
                              </w:rPr>
                              <w:t xml:space="preserve"> - Porcentaje de solicitudes de patentes secundarias según su objeto.</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3BBB9B" id="Cuadro de texto 22" o:spid="_x0000_s1043" type="#_x0000_t202" style="position:absolute;left:0;text-align:left;margin-left:376.8pt;margin-top:205.95pt;width:428pt;height:.05pt;z-index:-2516177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" stroked="f">
                <v:textbox style="mso-fit-shape-to-text:t" inset="0,0,0,0">
                  <w:txbxContent>
                    <w:p w14:paraId="3C28971E" w14:textId="3737A63F" w:rsidR="00A5627F" w:rsidRPr="00D32546" w:rsidRDefault="00A5627F" w:rsidP="00D32546">
                      <w:pPr>
                        <w:pStyle w:val="Descripcin"/>
                        <w:jc w:val="center"/>
                        <w:rPr>
                          <w:lang w:val="es-ES"/>
                        </w:rPr>
                      </w:pPr>
                      <w:bookmarkStart w:id="94" w:name="_Toc400525294"/>
                      <w:r w:rsidRPr="00D32546">
                        <w:rPr>
                          <w:lang w:val="es-ES"/>
                        </w:rPr>
                        <w:t xml:space="preserve">Ilustración </w:t>
                      </w:r>
                      <w:r>
                        <w:fldChar w:fldCharType="begin"/>
                      </w:r>
                      <w:r w:rsidRPr="00D32546">
                        <w:rPr>
                          <w:lang w:val="es-ES"/>
                        </w:rPr>
                        <w:instrText xml:space="preserve"> SEQ Ilustración \* ARABIC </w:instrText>
                      </w:r>
                      <w:r>
                        <w:fldChar w:fldCharType="separate"/>
                      </w:r>
                      <w:r w:rsidR="0099684C">
                        <w:rPr>
                          <w:noProof/>
                          <w:lang w:val="es-ES"/>
                        </w:rPr>
                        <w:t>19</w:t>
                      </w:r>
                      <w:r>
                        <w:fldChar w:fldCharType="end"/>
                      </w:r>
                      <w:r w:rsidRPr="00D32546">
                        <w:rPr>
                          <w:lang w:val="es-ES"/>
                        </w:rPr>
                        <w:t xml:space="preserve"> - Porcentaje de solicitudes de patentes secundarias según su objeto.</w:t>
                      </w:r>
                      <w:bookmarkEnd w:id="94"/>
                    </w:p>
                  </w:txbxContent>
                </v:textbox>
                <w10:wrap type="tight" anchorx="margin"/>
              </v:shape>
            </w:pict>
          </mc:Fallback>
        </mc:AlternateContent>
      </w:r>
      <w:r>
        <w:rPr>
          <w:noProof/>
          <w:lang w:val="es-ES" w:eastAsia="es-ES"/>
        </w:rPr>
        <w:drawing>
          <wp:anchor distT="0" distB="0" distL="114300" distR="114300" simplePos="0" relativeHeight="251694592" behindDoc="1" locked="0" layoutInCell="1" allowOverlap="1" wp14:anchorId="4D17EC6B" wp14:editId="2055C42F">
            <wp:simplePos x="0" y="0"/>
            <wp:positionH relativeFrom="margin">
              <wp:posOffset>-47625</wp:posOffset>
            </wp:positionH>
            <wp:positionV relativeFrom="paragraph">
              <wp:posOffset>1259002</wp:posOffset>
            </wp:positionV>
            <wp:extent cx="5434965" cy="1301115"/>
            <wp:effectExtent l="19050" t="19050" r="13335" b="13335"/>
            <wp:wrapTight wrapText="bothSides">
              <wp:wrapPolygon edited="0">
                <wp:start x="-76" y="-316"/>
                <wp:lineTo x="-76" y="21505"/>
                <wp:lineTo x="21577" y="21505"/>
                <wp:lineTo x="21577" y="-316"/>
                <wp:lineTo x="-76" y="-316"/>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83).png"/>
                    <pic:cNvPicPr/>
                  </pic:nvPicPr>
                  <pic:blipFill rotWithShape="1">
                    <a:blip r:embed="rId33" cstate="print">
                      <a:extLst>
                        <a:ext uri="{28A0092B-C50C-407E-A947-70E740481C1C}">
                          <a14:useLocalDpi xmlns:a14="http://schemas.microsoft.com/office/drawing/2010/main" val="0"/>
                        </a:ext>
                      </a:extLst>
                    </a:blip>
                    <a:srcRect l="9869" t="10099" r="11397" b="55047"/>
                    <a:stretch/>
                  </pic:blipFill>
                  <pic:spPr bwMode="auto">
                    <a:xfrm>
                      <a:off x="0" y="0"/>
                      <a:ext cx="5434965" cy="1301115"/>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s-ES"/>
        </w:rPr>
        <w:t>Según los datos recogidos por el informe de la Comisión que analizaba 219 de los principios activos con mayor volumen de ventas y aportados por 47 compañías innovadoras de la Unión Europea, del total de solicitudes de patentes realizadas (cerca de 40.000) 1 de cada 7 podían ser consideradas como primarias, siendo el resto secundarias o accesorias. De las solicitudes de patentes que aún estaban sin resolver el 93% eran consideradas como secundarias por lo que este ratio aumentaba a 1 de cada 13.</w:t>
      </w:r>
    </w:p>
    <w:p w14:paraId="1B164CA4" w14:textId="77777777" w:rsidR="00284F08" w:rsidRDefault="00284F08" w:rsidP="00B73735">
      <w:pPr>
        <w:ind w:left="0"/>
        <w:rPr>
          <w:lang w:val="es-ES"/>
        </w:rPr>
      </w:pPr>
    </w:p>
    <w:p w14:paraId="48F08C46" w14:textId="311CC374" w:rsidR="00F81D45" w:rsidRDefault="00F81D45" w:rsidP="00B83CF2">
      <w:pPr>
        <w:ind w:left="0" w:firstLine="360"/>
        <w:rPr>
          <w:lang w:val="es-ES"/>
        </w:rPr>
      </w:pPr>
      <w:r>
        <w:rPr>
          <w:lang w:val="es-ES"/>
        </w:rPr>
        <w:t>El problema surge cuando el único objetivo de estas patentes secundarias es “proteger” al compuesto o principio activo que es objeto de la patente original de la competencia de los fármacos genéricos una vez que la patente original llegue a término. Se crea alrededor de la patente original una red de patentes que impiden al productor de los genéricos fabricar el medicamento sin violar alguno de</w:t>
      </w:r>
      <w:r w:rsidR="003E0288">
        <w:rPr>
          <w:lang w:val="es-ES"/>
        </w:rPr>
        <w:t xml:space="preserve"> </w:t>
      </w:r>
      <w:r>
        <w:rPr>
          <w:lang w:val="es-ES"/>
        </w:rPr>
        <w:t xml:space="preserve">los derechos de propiedad </w:t>
      </w:r>
      <w:r>
        <w:rPr>
          <w:lang w:val="es-ES"/>
        </w:rPr>
        <w:lastRenderedPageBreak/>
        <w:t>intelectual secundarios que en la mayoría de los casos han sido solicitados varios años después de la solicitud de la patente original</w:t>
      </w:r>
      <w:r w:rsidR="003E0288">
        <w:rPr>
          <w:lang w:val="es-ES"/>
        </w:rPr>
        <w:t xml:space="preserve"> y, casi siempre, en el tramo final de la vida de la patente</w:t>
      </w:r>
      <w:r>
        <w:rPr>
          <w:lang w:val="es-ES"/>
        </w:rPr>
        <w:t>.</w:t>
      </w:r>
    </w:p>
    <w:p w14:paraId="001194F3" w14:textId="0D0C56B9" w:rsidR="00D32546" w:rsidRDefault="00D32546" w:rsidP="00B73735">
      <w:pPr>
        <w:ind w:left="0"/>
        <w:rPr>
          <w:lang w:val="es-ES"/>
        </w:rPr>
      </w:pPr>
    </w:p>
    <w:p w14:paraId="1EBD5C33" w14:textId="65177FA7" w:rsidR="003E0288" w:rsidRDefault="003E0288" w:rsidP="00B83CF2">
      <w:pPr>
        <w:ind w:left="0" w:firstLine="360"/>
        <w:rPr>
          <w:lang w:val="es-ES"/>
        </w:rPr>
      </w:pPr>
      <w:r>
        <w:rPr>
          <w:lang w:val="es-ES"/>
        </w:rPr>
        <w:t xml:space="preserve">La opinión mayoritaria de las compañías de genéricos al respecto es que las patentes secundarias suelen ser débiles </w:t>
      </w:r>
      <w:r w:rsidR="00094C35">
        <w:rPr>
          <w:lang w:val="es-ES"/>
        </w:rPr>
        <w:t>pues no cumplen los requisitos de novedad y actividad inventiva suelen ser concedidos de una manera poco estricta por la EPO, así como, las distintas oficinas nacionales.</w:t>
      </w:r>
    </w:p>
    <w:p w14:paraId="6186C87F" w14:textId="260F059C" w:rsidR="003E0288" w:rsidRDefault="003E0288" w:rsidP="00B73735">
      <w:pPr>
        <w:ind w:left="0"/>
        <w:rPr>
          <w:lang w:val="es-ES"/>
        </w:rPr>
      </w:pPr>
    </w:p>
    <w:p w14:paraId="24EBDDB0" w14:textId="3D4CC76A" w:rsidR="003E0288" w:rsidRDefault="003E0288" w:rsidP="00B83CF2">
      <w:pPr>
        <w:ind w:left="0" w:firstLine="360"/>
        <w:rPr>
          <w:lang w:val="es-ES"/>
        </w:rPr>
      </w:pPr>
      <w:r>
        <w:rPr>
          <w:lang w:val="es-ES"/>
        </w:rPr>
        <w:t>Este sistema de patentes amplias inevitablemente genera disputas entre las compañías innovadoras y las productoras de genéricos. Las disputas normalmente suelen resolverse en los tribunales. De los resultados del estudio publicado por la Comisión se deprende que es un hecho que las patentes secundarias suelen adolecer de cierta debilidad en sus fundamentos. Esta debilidad se traduce en que m</w:t>
      </w:r>
      <w:r w:rsidR="00094C35">
        <w:rPr>
          <w:lang w:val="es-ES"/>
        </w:rPr>
        <w:t>ás del 60% de los procedimientos de apelación y oposición</w:t>
      </w:r>
      <w:r>
        <w:rPr>
          <w:lang w:val="es-ES"/>
        </w:rPr>
        <w:t xml:space="preserve"> entre innovadores y productores de genéricos se decanten del lado de los segundos conllevando por tanto la revocación del derecho de patente secundario.</w:t>
      </w:r>
    </w:p>
    <w:p w14:paraId="6D6A8152" w14:textId="77777777" w:rsidR="003E0288" w:rsidRDefault="003E0288" w:rsidP="00B73735">
      <w:pPr>
        <w:ind w:left="0"/>
        <w:rPr>
          <w:lang w:val="es-ES"/>
        </w:rPr>
      </w:pPr>
    </w:p>
    <w:p w14:paraId="29F01A41" w14:textId="7C409222" w:rsidR="003E0288" w:rsidRDefault="00DA2B1B" w:rsidP="00DA2B1B">
      <w:pPr>
        <w:pStyle w:val="Ttulo2"/>
        <w:rPr>
          <w:lang w:val="es-ES"/>
        </w:rPr>
      </w:pPr>
      <w:bookmarkStart w:id="95" w:name="_Toc400525401"/>
      <w:r>
        <w:rPr>
          <w:lang w:val="es-ES"/>
        </w:rPr>
        <w:t>6.</w:t>
      </w:r>
      <w:r w:rsidR="00094C35">
        <w:rPr>
          <w:lang w:val="es-ES"/>
        </w:rPr>
        <w:t xml:space="preserve">2. </w:t>
      </w:r>
      <w:r w:rsidR="00094C35" w:rsidRPr="00094C35">
        <w:rPr>
          <w:lang w:val="es-ES"/>
        </w:rPr>
        <w:t>Solicitudes divisionarias de patente</w:t>
      </w:r>
      <w:r w:rsidR="00094C35">
        <w:rPr>
          <w:lang w:val="es-ES"/>
        </w:rPr>
        <w:t>s.</w:t>
      </w:r>
      <w:bookmarkEnd w:id="95"/>
    </w:p>
    <w:p w14:paraId="1A81D7F3" w14:textId="77777777" w:rsidR="00094C35" w:rsidRDefault="00094C35" w:rsidP="00094C35">
      <w:pPr>
        <w:ind w:left="0"/>
        <w:rPr>
          <w:lang w:val="es-ES"/>
        </w:rPr>
      </w:pPr>
    </w:p>
    <w:p w14:paraId="44DA8F65" w14:textId="274567A2" w:rsidR="00094C35" w:rsidRDefault="00094C35" w:rsidP="00B83CF2">
      <w:pPr>
        <w:ind w:left="0" w:firstLine="360"/>
        <w:rPr>
          <w:lang w:val="es-ES"/>
        </w:rPr>
      </w:pPr>
      <w:r>
        <w:rPr>
          <w:lang w:val="es-ES"/>
        </w:rPr>
        <w:t xml:space="preserve">Una solicitud divisionaria de patente se crea cuando, ya sea voluntariamente o a solicitud de la oficina de patente competente, se </w:t>
      </w:r>
      <w:r w:rsidR="005E1089">
        <w:rPr>
          <w:lang w:val="es-ES"/>
        </w:rPr>
        <w:t>fracciona</w:t>
      </w:r>
      <w:r>
        <w:rPr>
          <w:lang w:val="es-ES"/>
        </w:rPr>
        <w:t xml:space="preserve"> de una solicitud patente </w:t>
      </w:r>
      <w:r w:rsidR="005E1089">
        <w:rPr>
          <w:lang w:val="es-ES"/>
        </w:rPr>
        <w:t xml:space="preserve">amplia </w:t>
      </w:r>
      <w:r>
        <w:rPr>
          <w:lang w:val="es-ES"/>
        </w:rPr>
        <w:t>original (</w:t>
      </w:r>
      <w:r w:rsidRPr="005E1089">
        <w:rPr>
          <w:i/>
          <w:lang w:val="es-ES"/>
        </w:rPr>
        <w:t>solicitud de patente padre</w:t>
      </w:r>
      <w:r>
        <w:rPr>
          <w:lang w:val="es-ES"/>
        </w:rPr>
        <w:t>) una o varias solicitudes de patentes</w:t>
      </w:r>
      <w:r w:rsidR="005E1089">
        <w:rPr>
          <w:lang w:val="es-ES"/>
        </w:rPr>
        <w:t xml:space="preserve"> más pequeñas (</w:t>
      </w:r>
      <w:r w:rsidR="005E1089" w:rsidRPr="005E1089">
        <w:rPr>
          <w:i/>
          <w:lang w:val="es-ES"/>
        </w:rPr>
        <w:t>divisorias</w:t>
      </w:r>
      <w:r w:rsidR="005E1089">
        <w:rPr>
          <w:lang w:val="es-ES"/>
        </w:rPr>
        <w:t>)</w:t>
      </w:r>
      <w:r>
        <w:rPr>
          <w:lang w:val="es-ES"/>
        </w:rPr>
        <w:t>.</w:t>
      </w:r>
      <w:r w:rsidR="005E1089">
        <w:rPr>
          <w:lang w:val="es-ES"/>
        </w:rPr>
        <w:t xml:space="preserve"> Este fraccionamiento debe llevarse a cabo mientras que la solicitud de patente esté aún pendiente. Sin embargo, una vez creada, las divisorias tienen vida propia. Es decir, incluso si la patente padre es retirada o rechazada, las divisorias aún estarán pendientes de resolución. Si, finalmente, son concedidas las divisorias tendrán la misma prioridad y fecha de aplicabilidad que la patente padre.</w:t>
      </w:r>
    </w:p>
    <w:p w14:paraId="0FBBE199" w14:textId="77777777" w:rsidR="00094C35" w:rsidRDefault="00094C35" w:rsidP="00094C35">
      <w:pPr>
        <w:ind w:left="0"/>
        <w:rPr>
          <w:lang w:val="es-ES"/>
        </w:rPr>
      </w:pPr>
    </w:p>
    <w:p w14:paraId="74C95B89" w14:textId="77777777" w:rsidR="00B22707" w:rsidRDefault="005E1089" w:rsidP="00B83CF2">
      <w:pPr>
        <w:ind w:left="0" w:firstLine="360"/>
        <w:rPr>
          <w:lang w:val="es-ES"/>
        </w:rPr>
      </w:pPr>
      <w:r>
        <w:rPr>
          <w:lang w:val="es-ES"/>
        </w:rPr>
        <w:t>Del total de la</w:t>
      </w:r>
      <w:r w:rsidR="00B22707">
        <w:rPr>
          <w:lang w:val="es-ES"/>
        </w:rPr>
        <w:t>s solicitudes divisionarias de</w:t>
      </w:r>
      <w:r>
        <w:rPr>
          <w:lang w:val="es-ES"/>
        </w:rPr>
        <w:t xml:space="preserve"> patentes </w:t>
      </w:r>
      <w:r w:rsidR="00B22707">
        <w:rPr>
          <w:lang w:val="es-ES"/>
        </w:rPr>
        <w:t xml:space="preserve">realizadas por compañías farmacéuticas </w:t>
      </w:r>
      <w:r>
        <w:rPr>
          <w:lang w:val="es-ES"/>
        </w:rPr>
        <w:t>ante la EPO el 80%</w:t>
      </w:r>
      <w:r w:rsidR="00B22707">
        <w:rPr>
          <w:lang w:val="es-ES"/>
        </w:rPr>
        <w:t xml:space="preserve"> de ellas fueron solicitadas por las propias corporaciones mientras que, tan solo, el 20% restante fueron a solicitud de la Oficina.</w:t>
      </w:r>
    </w:p>
    <w:p w14:paraId="2E58AFB9" w14:textId="795E58FB" w:rsidR="00B22707" w:rsidRDefault="00B22707" w:rsidP="00B73735">
      <w:pPr>
        <w:ind w:left="0"/>
        <w:rPr>
          <w:lang w:val="es-ES"/>
        </w:rPr>
      </w:pPr>
    </w:p>
    <w:p w14:paraId="2DC48E35" w14:textId="30A19C58" w:rsidR="00B22707" w:rsidRDefault="00410B8F" w:rsidP="00B83CF2">
      <w:pPr>
        <w:ind w:left="0" w:firstLine="360"/>
        <w:rPr>
          <w:lang w:val="es-ES"/>
        </w:rPr>
      </w:pPr>
      <w:r>
        <w:rPr>
          <w:noProof/>
          <w:lang w:val="es-ES" w:eastAsia="es-ES"/>
        </w:rPr>
        <mc:AlternateContent>
          <mc:Choice Requires="wps">
            <w:drawing>
              <wp:anchor distT="0" distB="0" distL="114300" distR="114300" simplePos="0" relativeHeight="251690496" behindDoc="1" locked="0" layoutInCell="1" allowOverlap="1" wp14:anchorId="529779A3" wp14:editId="04692370">
                <wp:simplePos x="0" y="0"/>
                <wp:positionH relativeFrom="margin">
                  <wp:align>left</wp:align>
                </wp:positionH>
                <wp:positionV relativeFrom="paragraph">
                  <wp:posOffset>2665730</wp:posOffset>
                </wp:positionV>
                <wp:extent cx="3271520" cy="635"/>
                <wp:effectExtent l="0" t="0" r="5080" b="0"/>
                <wp:wrapTight wrapText="bothSides">
                  <wp:wrapPolygon edited="0">
                    <wp:start x="0" y="0"/>
                    <wp:lineTo x="0" y="19957"/>
                    <wp:lineTo x="21508" y="19957"/>
                    <wp:lineTo x="21508"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271520" cy="635"/>
                        </a:xfrm>
                        <a:prstGeom prst="rect">
                          <a:avLst/>
                        </a:prstGeom>
                        <a:solidFill>
                          <a:prstClr val="white"/>
                        </a:solidFill>
                        <a:ln>
                          <a:noFill/>
                        </a:ln>
                        <a:effectLst/>
                      </wps:spPr>
                      <wps:txbx>
                        <w:txbxContent>
                          <w:p w14:paraId="542B50A1" w14:textId="3721F2FC" w:rsidR="00A5627F" w:rsidRPr="00410B8F" w:rsidRDefault="00A5627F" w:rsidP="00410B8F">
                            <w:pPr>
                              <w:pStyle w:val="Descripcin"/>
                              <w:jc w:val="center"/>
                              <w:rPr>
                                <w:sz w:val="16"/>
                                <w:szCs w:val="16"/>
                                <w:lang w:val="es-ES"/>
                              </w:rPr>
                            </w:pPr>
                            <w:bookmarkStart w:id="96" w:name="_Toc400525295"/>
                            <w:r w:rsidRPr="00410B8F">
                              <w:rPr>
                                <w:sz w:val="16"/>
                                <w:szCs w:val="16"/>
                                <w:lang w:val="es-ES"/>
                              </w:rPr>
                              <w:t xml:space="preserve">Ilustración </w:t>
                            </w:r>
                            <w:r w:rsidRPr="00410B8F">
                              <w:rPr>
                                <w:sz w:val="16"/>
                                <w:szCs w:val="16"/>
                              </w:rPr>
                              <w:fldChar w:fldCharType="begin"/>
                            </w:r>
                            <w:r w:rsidRPr="00410B8F">
                              <w:rPr>
                                <w:sz w:val="16"/>
                                <w:szCs w:val="16"/>
                                <w:lang w:val="es-ES"/>
                              </w:rPr>
                              <w:instrText xml:space="preserve"> SEQ Ilustración \* ARABIC </w:instrText>
                            </w:r>
                            <w:r w:rsidRPr="00410B8F">
                              <w:rPr>
                                <w:sz w:val="16"/>
                                <w:szCs w:val="16"/>
                              </w:rPr>
                              <w:fldChar w:fldCharType="separate"/>
                            </w:r>
                            <w:r w:rsidR="0099684C">
                              <w:rPr>
                                <w:noProof/>
                                <w:sz w:val="16"/>
                                <w:szCs w:val="16"/>
                                <w:lang w:val="es-ES"/>
                              </w:rPr>
                              <w:t>20</w:t>
                            </w:r>
                            <w:r w:rsidRPr="00410B8F">
                              <w:rPr>
                                <w:sz w:val="16"/>
                                <w:szCs w:val="16"/>
                              </w:rPr>
                              <w:fldChar w:fldCharType="end"/>
                            </w:r>
                            <w:r w:rsidRPr="00410B8F">
                              <w:rPr>
                                <w:sz w:val="16"/>
                                <w:szCs w:val="16"/>
                                <w:lang w:val="es-ES"/>
                              </w:rPr>
                              <w:t xml:space="preserve"> - Número de solicitudes divisionarias, y porcentaje respecto al total de solicitudes de patentes para productos farmacéuticos.</w:t>
                            </w:r>
                            <w:r>
                              <w:rPr>
                                <w:sz w:val="16"/>
                                <w:szCs w:val="16"/>
                                <w:lang w:val="es-ES"/>
                              </w:rPr>
                              <w:t xml:space="preserve"> Fuente: Comisión Europea.</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9779A3" id="Cuadro de texto 6" o:spid="_x0000_s1044" type="#_x0000_t202" style="position:absolute;left:0;text-align:left;margin-left:0;margin-top:209.9pt;width:257.6pt;height:.05pt;z-index:-251625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" stroked="f">
                <v:textbox style="mso-fit-shape-to-text:t" inset="0,0,0,0">
                  <w:txbxContent>
                    <w:p w14:paraId="542B50A1" w14:textId="3721F2FC" w:rsidR="00A5627F" w:rsidRPr="00410B8F" w:rsidRDefault="00A5627F" w:rsidP="00410B8F">
                      <w:pPr>
                        <w:pStyle w:val="Descripcin"/>
                        <w:jc w:val="center"/>
                        <w:rPr>
                          <w:sz w:val="16"/>
                          <w:szCs w:val="16"/>
                          <w:lang w:val="es-ES"/>
                        </w:rPr>
                      </w:pPr>
                      <w:bookmarkStart w:id="97" w:name="_Toc400525295"/>
                      <w:r w:rsidRPr="00410B8F">
                        <w:rPr>
                          <w:sz w:val="16"/>
                          <w:szCs w:val="16"/>
                          <w:lang w:val="es-ES"/>
                        </w:rPr>
                        <w:t xml:space="preserve">Ilustración </w:t>
                      </w:r>
                      <w:r w:rsidRPr="00410B8F">
                        <w:rPr>
                          <w:sz w:val="16"/>
                          <w:szCs w:val="16"/>
                        </w:rPr>
                        <w:fldChar w:fldCharType="begin"/>
                      </w:r>
                      <w:r w:rsidRPr="00410B8F">
                        <w:rPr>
                          <w:sz w:val="16"/>
                          <w:szCs w:val="16"/>
                          <w:lang w:val="es-ES"/>
                        </w:rPr>
                        <w:instrText xml:space="preserve"> SEQ Ilustración \* ARABIC </w:instrText>
                      </w:r>
                      <w:r w:rsidRPr="00410B8F">
                        <w:rPr>
                          <w:sz w:val="16"/>
                          <w:szCs w:val="16"/>
                        </w:rPr>
                        <w:fldChar w:fldCharType="separate"/>
                      </w:r>
                      <w:r w:rsidR="0099684C">
                        <w:rPr>
                          <w:noProof/>
                          <w:sz w:val="16"/>
                          <w:szCs w:val="16"/>
                          <w:lang w:val="es-ES"/>
                        </w:rPr>
                        <w:t>20</w:t>
                      </w:r>
                      <w:r w:rsidRPr="00410B8F">
                        <w:rPr>
                          <w:sz w:val="16"/>
                          <w:szCs w:val="16"/>
                        </w:rPr>
                        <w:fldChar w:fldCharType="end"/>
                      </w:r>
                      <w:r w:rsidRPr="00410B8F">
                        <w:rPr>
                          <w:sz w:val="16"/>
                          <w:szCs w:val="16"/>
                          <w:lang w:val="es-ES"/>
                        </w:rPr>
                        <w:t xml:space="preserve"> - Número de solicitudes divisionarias, y porcentaje respecto al total de solicitudes de patentes para productos farmacéuticos.</w:t>
                      </w:r>
                      <w:r>
                        <w:rPr>
                          <w:sz w:val="16"/>
                          <w:szCs w:val="16"/>
                          <w:lang w:val="es-ES"/>
                        </w:rPr>
                        <w:t xml:space="preserve"> Fuente: Comisión Europea.</w:t>
                      </w:r>
                      <w:bookmarkEnd w:id="97"/>
                    </w:p>
                  </w:txbxContent>
                </v:textbox>
                <w10:wrap type="tight" anchorx="margin"/>
              </v:shape>
            </w:pict>
          </mc:Fallback>
        </mc:AlternateContent>
      </w:r>
      <w:r>
        <w:rPr>
          <w:noProof/>
          <w:lang w:val="es-ES" w:eastAsia="es-ES"/>
        </w:rPr>
        <w:drawing>
          <wp:anchor distT="0" distB="0" distL="114300" distR="114300" simplePos="0" relativeHeight="251686400" behindDoc="1" locked="0" layoutInCell="1" allowOverlap="1" wp14:anchorId="4F0A75B5" wp14:editId="66098275">
            <wp:simplePos x="0" y="0"/>
            <wp:positionH relativeFrom="margin">
              <wp:posOffset>81915</wp:posOffset>
            </wp:positionH>
            <wp:positionV relativeFrom="paragraph">
              <wp:posOffset>27305</wp:posOffset>
            </wp:positionV>
            <wp:extent cx="3228340" cy="2538095"/>
            <wp:effectExtent l="19050" t="19050" r="10160" b="14605"/>
            <wp:wrapTight wrapText="bothSides">
              <wp:wrapPolygon edited="0">
                <wp:start x="-127" y="-162"/>
                <wp:lineTo x="-127" y="21562"/>
                <wp:lineTo x="21541" y="21562"/>
                <wp:lineTo x="21541" y="-162"/>
                <wp:lineTo x="-127" y="-162"/>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85).png"/>
                    <pic:cNvPicPr/>
                  </pic:nvPicPr>
                  <pic:blipFill rotWithShape="1">
                    <a:blip r:embed="rId34" cstate="print">
                      <a:extLst>
                        <a:ext uri="{28A0092B-C50C-407E-A947-70E740481C1C}">
                          <a14:useLocalDpi xmlns:a14="http://schemas.microsoft.com/office/drawing/2010/main" val="0"/>
                        </a:ext>
                      </a:extLst>
                    </a:blip>
                    <a:srcRect l="15827" t="11134" r="15682" b="13895"/>
                    <a:stretch/>
                  </pic:blipFill>
                  <pic:spPr bwMode="auto">
                    <a:xfrm>
                      <a:off x="0" y="0"/>
                      <a:ext cx="3228340" cy="2538095"/>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s-ES"/>
        </w:rPr>
        <w:t>En el informe de la C</w:t>
      </w:r>
      <w:r w:rsidR="00B22707">
        <w:rPr>
          <w:lang w:val="es-ES"/>
        </w:rPr>
        <w:t>omisión se recoge la opinión de las compañías de genéricos al respecto. Estas opinan que las patentes divisorias se podrían estar usando para resetear el reloj e incrementar el tiempo de evaluación de las patentes. Consecuentemente se expande el periodo durante el cual las solicitudes están sin resolver. Cada solicitud divisionaria debe ser examinada de manera individual por lo que una oposición legalmente exitosa frente a una solicitud de patente padre no generará una seguridad jurídica indubitada mientras que las solicitudes divisorias estén sin resolver.</w:t>
      </w:r>
      <w:r w:rsidR="00512050">
        <w:rPr>
          <w:lang w:val="es-ES"/>
        </w:rPr>
        <w:t xml:space="preserve"> En estos casos, para las compañías de genéricos, es virtualmente imposible predecir cuales de las patentes divisorias serán concedidas y, </w:t>
      </w:r>
      <w:r w:rsidR="00512050">
        <w:rPr>
          <w:lang w:val="es-ES"/>
        </w:rPr>
        <w:lastRenderedPageBreak/>
        <w:t>por tanto, qué pueden reproducir sin infringir un derecho de propiedad intelectual, incluso si la solicitud de patente padre ha sido retirada o rechazada.</w:t>
      </w:r>
    </w:p>
    <w:p w14:paraId="19C2786B" w14:textId="088700EB" w:rsidR="007D08E3" w:rsidRDefault="007D08E3" w:rsidP="00B73735">
      <w:pPr>
        <w:ind w:left="0"/>
        <w:rPr>
          <w:lang w:val="es-ES"/>
        </w:rPr>
      </w:pPr>
    </w:p>
    <w:p w14:paraId="1B0E23FA" w14:textId="6861F4A5" w:rsidR="007D08E3" w:rsidRDefault="007D08E3" w:rsidP="00B83CF2">
      <w:pPr>
        <w:ind w:left="0" w:firstLine="360"/>
        <w:rPr>
          <w:lang w:val="es-ES"/>
        </w:rPr>
      </w:pPr>
      <w:r>
        <w:rPr>
          <w:lang w:val="es-ES"/>
        </w:rPr>
        <w:t>La norma que rige el funcionamiento de las solicitudes divisionarias de patentes, “</w:t>
      </w:r>
      <w:r w:rsidR="00E3760B">
        <w:rPr>
          <w:lang w:val="es-ES"/>
        </w:rPr>
        <w:t>el art. 36 de</w:t>
      </w:r>
      <w:r>
        <w:rPr>
          <w:lang w:val="es-ES"/>
        </w:rPr>
        <w:t>l Reglamento</w:t>
      </w:r>
      <w:r w:rsidR="00E3760B">
        <w:rPr>
          <w:lang w:val="es-ES"/>
        </w:rPr>
        <w:t xml:space="preserve"> de Ejecución</w:t>
      </w:r>
      <w:r>
        <w:rPr>
          <w:lang w:val="es-ES"/>
        </w:rPr>
        <w:t xml:space="preserve"> para el Convenio sobre la</w:t>
      </w:r>
      <w:r w:rsidR="00E3760B">
        <w:rPr>
          <w:lang w:val="es-ES"/>
        </w:rPr>
        <w:t xml:space="preserve"> Concesión de </w:t>
      </w:r>
      <w:r>
        <w:rPr>
          <w:lang w:val="es-ES"/>
        </w:rPr>
        <w:t>Patente</w:t>
      </w:r>
      <w:r w:rsidR="00E3760B">
        <w:rPr>
          <w:lang w:val="es-ES"/>
        </w:rPr>
        <w:t>s</w:t>
      </w:r>
      <w:r>
        <w:rPr>
          <w:lang w:val="es-ES"/>
        </w:rPr>
        <w:t xml:space="preserve"> Europea</w:t>
      </w:r>
      <w:r w:rsidR="00E3760B">
        <w:rPr>
          <w:lang w:val="es-ES"/>
        </w:rPr>
        <w:t>s</w:t>
      </w:r>
      <w:r>
        <w:rPr>
          <w:lang w:val="es-ES"/>
        </w:rPr>
        <w:t>”</w:t>
      </w:r>
      <w:r w:rsidR="00E3760B">
        <w:rPr>
          <w:lang w:val="es-ES"/>
        </w:rPr>
        <w:t xml:space="preserve"> ha sido modificada en varias ocasiones en los últimos años. Las últimas fueron en 2010 y 2013. En 2010 se limitó el plazo máximo en el que se podía solicitar la división de la solicitud de la patente padre a dos años desde la primera solicitud. En 2013 se volvió a modificar el reglamento ejecutivo para volver a una situación muy similar a la que regía antes de la modificación del 2010. Se estableció que, a partir de abril del 2014, las solicitudes divisionarias se podrían en cualquier momento, siempre y cuando, no se hubiera resuelto la solicitud de concesión de la patente padre.</w:t>
      </w:r>
    </w:p>
    <w:p w14:paraId="0482578F" w14:textId="77777777" w:rsidR="00B22707" w:rsidRDefault="00B22707" w:rsidP="00B73735">
      <w:pPr>
        <w:ind w:left="0"/>
        <w:rPr>
          <w:lang w:val="es-ES"/>
        </w:rPr>
      </w:pPr>
    </w:p>
    <w:p w14:paraId="44AC552B" w14:textId="1532941D" w:rsidR="00B22707" w:rsidRDefault="00512050" w:rsidP="00B83CF2">
      <w:pPr>
        <w:ind w:left="0" w:firstLine="360"/>
        <w:rPr>
          <w:lang w:val="es-ES"/>
        </w:rPr>
      </w:pPr>
      <w:r>
        <w:rPr>
          <w:lang w:val="es-ES"/>
        </w:rPr>
        <w:t>Tanto el patent cluster como las solicitudes divisionarias de patentes se realizan con un mismo objetivo: impedir o retrasar la entrada de competidores genéricos en el mercado.</w:t>
      </w:r>
      <w:r w:rsidR="00DA2B1B">
        <w:rPr>
          <w:lang w:val="es-ES"/>
        </w:rPr>
        <w:t xml:space="preserve"> Mientras más densa sea la red creada más complicado será sacar los productos al mercado puesto que aunque todas las patentes se pudieran rebatir es la incertidumbre legal lo que más frena a los competidores. No saben cuál va a ser, de entre la multitud existente, el derecho de patente que puede resultar infranqueable.</w:t>
      </w:r>
    </w:p>
    <w:p w14:paraId="1FC7AC34" w14:textId="77777777" w:rsidR="00DA2B1B" w:rsidRDefault="00DA2B1B" w:rsidP="00B73735">
      <w:pPr>
        <w:ind w:left="0"/>
        <w:rPr>
          <w:lang w:val="es-ES"/>
        </w:rPr>
      </w:pPr>
    </w:p>
    <w:p w14:paraId="54330A47" w14:textId="79766346" w:rsidR="00DA2B1B" w:rsidRPr="00512050" w:rsidRDefault="00DA2B1B" w:rsidP="00DA2B1B">
      <w:pPr>
        <w:pStyle w:val="Ttulo2"/>
        <w:rPr>
          <w:lang w:val="es-ES"/>
        </w:rPr>
      </w:pPr>
      <w:bookmarkStart w:id="98" w:name="_Toc400525402"/>
      <w:r>
        <w:rPr>
          <w:lang w:val="es-ES"/>
        </w:rPr>
        <w:t>6.3. Litigación sobre patentes.</w:t>
      </w:r>
      <w:bookmarkEnd w:id="98"/>
    </w:p>
    <w:p w14:paraId="224C384D" w14:textId="77777777" w:rsidR="00B22707" w:rsidRDefault="00B22707" w:rsidP="00B73735">
      <w:pPr>
        <w:ind w:left="0"/>
        <w:rPr>
          <w:lang w:val="es-ES"/>
        </w:rPr>
      </w:pPr>
    </w:p>
    <w:p w14:paraId="0A0C99FF" w14:textId="23459948" w:rsidR="00DA2B1B" w:rsidRDefault="00DA2B1B" w:rsidP="00B83CF2">
      <w:pPr>
        <w:ind w:left="0" w:firstLine="360"/>
        <w:rPr>
          <w:lang w:val="es-ES"/>
        </w:rPr>
      </w:pPr>
      <w:r>
        <w:rPr>
          <w:lang w:val="es-ES"/>
        </w:rPr>
        <w:t>Por regla general los procedimientos judiciales a favor o en contra de un propietario de una patente son perfectamente legítimo y una parte fundamental del derecho universal a la justicia. No obstante, los procedimientos legales</w:t>
      </w:r>
      <w:r w:rsidR="00C26B46">
        <w:rPr>
          <w:lang w:val="es-ES"/>
        </w:rPr>
        <w:t xml:space="preserve"> que su único objetivo es la dilación de la contraparte</w:t>
      </w:r>
      <w:r>
        <w:rPr>
          <w:lang w:val="es-ES"/>
        </w:rPr>
        <w:t xml:space="preserve"> suelen tener un efecto adverso entre la competencia y por tanto, bajo determinadas circunstancias, pueden infringir las exigencias del ya mencionado art. 102 TFUE.</w:t>
      </w:r>
      <w:r w:rsidR="007D7B97">
        <w:rPr>
          <w:lang w:val="es-ES"/>
        </w:rPr>
        <w:t xml:space="preserve"> La litigación maliciosa o “</w:t>
      </w:r>
      <w:r w:rsidR="007D7B97" w:rsidRPr="00E3760B">
        <w:rPr>
          <w:i/>
          <w:lang w:val="es-ES"/>
        </w:rPr>
        <w:t>vexatius</w:t>
      </w:r>
      <w:r w:rsidR="007D7B97">
        <w:rPr>
          <w:lang w:val="es-ES"/>
        </w:rPr>
        <w:t xml:space="preserve"> </w:t>
      </w:r>
      <w:r w:rsidR="007D7B97" w:rsidRPr="00E3760B">
        <w:rPr>
          <w:i/>
          <w:lang w:val="es-ES"/>
        </w:rPr>
        <w:t>litigation</w:t>
      </w:r>
      <w:r w:rsidR="007D7B97">
        <w:rPr>
          <w:lang w:val="es-ES"/>
        </w:rPr>
        <w:t>” tiene lugar cuando una parte ejerce acciones legales contra otra parte con un objetivo anticompetitivo.</w:t>
      </w:r>
    </w:p>
    <w:p w14:paraId="60D056CE" w14:textId="77777777" w:rsidR="007D7B97" w:rsidRDefault="007D7B97" w:rsidP="00B73735">
      <w:pPr>
        <w:ind w:left="0"/>
        <w:rPr>
          <w:lang w:val="es-ES"/>
        </w:rPr>
      </w:pPr>
    </w:p>
    <w:p w14:paraId="339F0609" w14:textId="295F96E9" w:rsidR="007D7B97" w:rsidRDefault="007D7B97" w:rsidP="00B83CF2">
      <w:pPr>
        <w:ind w:left="0" w:firstLine="360"/>
        <w:rPr>
          <w:lang w:val="es-ES"/>
        </w:rPr>
      </w:pPr>
      <w:r>
        <w:rPr>
          <w:lang w:val="es-ES"/>
        </w:rPr>
        <w:t>Los principales acciones a las que legalmente se suelen recurrir son las acciones por violación de un derecho de patente, la acción de anulación del derecho de patente y la acción de declarativa de no violación del derecho de patente.</w:t>
      </w:r>
    </w:p>
    <w:p w14:paraId="629C1ABD" w14:textId="77777777" w:rsidR="007D7B97" w:rsidRDefault="007D7B97" w:rsidP="00B73735">
      <w:pPr>
        <w:ind w:left="0"/>
        <w:rPr>
          <w:lang w:val="es-ES"/>
        </w:rPr>
      </w:pPr>
    </w:p>
    <w:p w14:paraId="532D2735" w14:textId="71D64748" w:rsidR="007D7B97" w:rsidRDefault="00CA389E" w:rsidP="00B83CF2">
      <w:pPr>
        <w:ind w:left="0" w:firstLine="360"/>
        <w:rPr>
          <w:lang w:val="es-ES"/>
        </w:rPr>
      </w:pPr>
      <w:r>
        <w:rPr>
          <w:lang w:val="es-ES"/>
        </w:rPr>
        <w:t>La acción de violación será ejercitada por las compañías innovadoras con el objetivo de que el tribunal competente estime que un genérico que has sido lanzado al mercado, o cuyo lanzamiento es inminente,  infringe la patente y, por tanto, prohíba su producción y comercialización. La acción declarativa de no violación será utilizada, obviamente, por las compañías de genéricos que buscarán que el tribunal declare que sus productos no infringen ningún derecho de propiedad intelectual.</w:t>
      </w:r>
    </w:p>
    <w:p w14:paraId="06460FCC" w14:textId="77777777" w:rsidR="007D7B97" w:rsidRDefault="007D7B97" w:rsidP="00B73735">
      <w:pPr>
        <w:ind w:left="0"/>
        <w:rPr>
          <w:lang w:val="es-ES"/>
        </w:rPr>
      </w:pPr>
    </w:p>
    <w:p w14:paraId="72B424E3" w14:textId="308FAA99" w:rsidR="007D7B97" w:rsidRPr="00CA389E" w:rsidRDefault="00CA389E" w:rsidP="00B83CF2">
      <w:pPr>
        <w:ind w:left="0" w:firstLine="360"/>
        <w:rPr>
          <w:lang w:val="es-ES"/>
        </w:rPr>
      </w:pPr>
      <w:r w:rsidRPr="00CA389E">
        <w:rPr>
          <w:lang w:val="es-ES"/>
        </w:rPr>
        <w:t>La acción de anulación, por su parte, será utilizada por los productores de genéricos</w:t>
      </w:r>
      <w:r>
        <w:rPr>
          <w:lang w:val="es-ES"/>
        </w:rPr>
        <w:t xml:space="preserve"> con el objetivo de que se anule la patente propiedad de la compañía innovadora. Esto les permitiría comercializar sus productos, eso sí, siempre y cuando el fármaco original no esté protegido por otros derechos de propiedad intelectual. Si la patente es anulada se hará de manera retroactiva y con efecto </w:t>
      </w:r>
      <w:r w:rsidRPr="00CA389E">
        <w:rPr>
          <w:i/>
          <w:lang w:val="es-ES"/>
        </w:rPr>
        <w:t>erga omnes</w:t>
      </w:r>
      <w:r>
        <w:rPr>
          <w:lang w:val="es-ES"/>
        </w:rPr>
        <w:t>.</w:t>
      </w:r>
    </w:p>
    <w:p w14:paraId="5EE89487" w14:textId="62F2625E" w:rsidR="007D7B97" w:rsidRPr="00C83926" w:rsidRDefault="007D7B97" w:rsidP="00B73735">
      <w:pPr>
        <w:ind w:left="0"/>
        <w:rPr>
          <w:lang w:val="es-ES"/>
        </w:rPr>
      </w:pPr>
      <w:r w:rsidRPr="00C83926">
        <w:rPr>
          <w:lang w:val="es-ES"/>
        </w:rPr>
        <w:t xml:space="preserve"> </w:t>
      </w:r>
    </w:p>
    <w:p w14:paraId="6758CC43" w14:textId="77777777" w:rsidR="00C26B46" w:rsidRDefault="00C26B46" w:rsidP="00B83CF2">
      <w:pPr>
        <w:ind w:left="0" w:firstLine="360"/>
        <w:rPr>
          <w:lang w:val="es-ES"/>
        </w:rPr>
      </w:pPr>
      <w:r>
        <w:rPr>
          <w:lang w:val="es-ES"/>
        </w:rPr>
        <w:t>El</w:t>
      </w:r>
      <w:r w:rsidR="00C83926" w:rsidRPr="00C83926">
        <w:rPr>
          <w:lang w:val="es-ES"/>
        </w:rPr>
        <w:t xml:space="preserve"> </w:t>
      </w:r>
      <w:r>
        <w:rPr>
          <w:lang w:val="es-ES"/>
        </w:rPr>
        <w:t>pleiteo</w:t>
      </w:r>
      <w:r w:rsidR="00C83926" w:rsidRPr="00C83926">
        <w:rPr>
          <w:lang w:val="es-ES"/>
        </w:rPr>
        <w:t xml:space="preserve"> sobre patentes puede influir</w:t>
      </w:r>
      <w:r>
        <w:rPr>
          <w:lang w:val="es-ES"/>
        </w:rPr>
        <w:t xml:space="preserve"> decisivamente</w:t>
      </w:r>
      <w:r w:rsidR="00C83926" w:rsidRPr="00C83926">
        <w:rPr>
          <w:lang w:val="es-ES"/>
        </w:rPr>
        <w:t xml:space="preserve"> en las decision</w:t>
      </w:r>
      <w:r w:rsidR="00C83926">
        <w:rPr>
          <w:lang w:val="es-ES"/>
        </w:rPr>
        <w:t>e</w:t>
      </w:r>
      <w:r w:rsidR="00C83926" w:rsidRPr="00C83926">
        <w:rPr>
          <w:lang w:val="es-ES"/>
        </w:rPr>
        <w:t xml:space="preserve">s </w:t>
      </w:r>
      <w:r w:rsidR="00C83926">
        <w:rPr>
          <w:lang w:val="es-ES"/>
        </w:rPr>
        <w:t xml:space="preserve">comerciales de las compañías de genéricos. </w:t>
      </w:r>
      <w:r>
        <w:rPr>
          <w:lang w:val="es-ES"/>
        </w:rPr>
        <w:t>Más c</w:t>
      </w:r>
      <w:r w:rsidR="00C83926">
        <w:rPr>
          <w:lang w:val="es-ES"/>
        </w:rPr>
        <w:t>oncretamente</w:t>
      </w:r>
      <w:r>
        <w:rPr>
          <w:lang w:val="es-ES"/>
        </w:rPr>
        <w:t>,</w:t>
      </w:r>
      <w:r w:rsidR="00C83926">
        <w:rPr>
          <w:lang w:val="es-ES"/>
        </w:rPr>
        <w:t xml:space="preserve"> la amenaza de largos y costosos procedimientos judiciales a lo largo y ancho de Europa (y de mundo) pueden disuadir a las compañías más pequeñas de lanzar al mercado un producto </w:t>
      </w:r>
      <w:r>
        <w:rPr>
          <w:lang w:val="es-ES"/>
        </w:rPr>
        <w:t xml:space="preserve">genérico </w:t>
      </w:r>
      <w:r w:rsidR="00C83926">
        <w:rPr>
          <w:lang w:val="es-ES"/>
        </w:rPr>
        <w:t xml:space="preserve">que haga la competencia al innovador. Lo que es más importante, las medidas cautelares </w:t>
      </w:r>
      <w:r>
        <w:rPr>
          <w:lang w:val="es-ES"/>
        </w:rPr>
        <w:t xml:space="preserve">que puedan imponer los tribunales de justicia </w:t>
      </w:r>
      <w:r w:rsidR="00C83926">
        <w:rPr>
          <w:lang w:val="es-ES"/>
        </w:rPr>
        <w:t xml:space="preserve">pueden obligar a las compañías a retirar sus productos del mercado y a paralizar la producción hasta que el procedimiento principal </w:t>
      </w:r>
      <w:r w:rsidR="00C83926">
        <w:rPr>
          <w:lang w:val="es-ES"/>
        </w:rPr>
        <w:lastRenderedPageBreak/>
        <w:t>sea resuelto</w:t>
      </w:r>
      <w:r>
        <w:rPr>
          <w:lang w:val="es-ES"/>
        </w:rPr>
        <w:t>, lo que se traducirá en cuantiosos costes tanto económicos como comerciales</w:t>
      </w:r>
      <w:r w:rsidR="00C83926">
        <w:rPr>
          <w:lang w:val="es-ES"/>
        </w:rPr>
        <w:t>.</w:t>
      </w:r>
    </w:p>
    <w:p w14:paraId="1FB2B335" w14:textId="7673EA3B" w:rsidR="00131ADC" w:rsidRDefault="00131ADC" w:rsidP="00B73735">
      <w:pPr>
        <w:ind w:left="0"/>
        <w:rPr>
          <w:lang w:val="es-ES"/>
        </w:rPr>
      </w:pPr>
    </w:p>
    <w:p w14:paraId="52F49DB3" w14:textId="56E4D707" w:rsidR="00422337" w:rsidRDefault="00422337" w:rsidP="00422337">
      <w:pPr>
        <w:ind w:left="0" w:firstLine="360"/>
        <w:rPr>
          <w:lang w:val="es-ES"/>
        </w:rPr>
      </w:pPr>
      <w:r>
        <w:rPr>
          <w:lang w:val="es-ES"/>
        </w:rPr>
        <w:t xml:space="preserve">Recientemente, en julio de este año, la Comisión Europea ha anunciado una importante sanción de 427,7 millones de euros para la farmacéutica francesa </w:t>
      </w:r>
      <w:r w:rsidRPr="004E7258">
        <w:rPr>
          <w:color w:val="000000"/>
          <w:lang w:val="es-ES"/>
        </w:rPr>
        <w:t>Servier</w:t>
      </w:r>
      <w:r w:rsidR="00575FBA">
        <w:rPr>
          <w:color w:val="000000"/>
          <w:lang w:val="es-ES"/>
        </w:rPr>
        <w:t xml:space="preserve"> (331 millones)</w:t>
      </w:r>
      <w:r w:rsidRPr="004E7258">
        <w:rPr>
          <w:color w:val="000000"/>
          <w:lang w:val="es-ES"/>
        </w:rPr>
        <w:t xml:space="preserve"> y cuatro compañías de genérico</w:t>
      </w:r>
      <w:r>
        <w:rPr>
          <w:color w:val="000000"/>
          <w:lang w:val="es-ES"/>
        </w:rPr>
        <w:t xml:space="preserve">s, Niche-Unichem, Matrix (ahora parte de Mylan), </w:t>
      </w:r>
      <w:r w:rsidRPr="004E7258">
        <w:rPr>
          <w:color w:val="000000"/>
          <w:lang w:val="es-ES"/>
        </w:rPr>
        <w:t>Te</w:t>
      </w:r>
      <w:r>
        <w:rPr>
          <w:color w:val="000000"/>
          <w:lang w:val="es-ES"/>
        </w:rPr>
        <w:t xml:space="preserve">va, </w:t>
      </w:r>
      <w:r w:rsidRPr="004E7258">
        <w:rPr>
          <w:color w:val="000000"/>
          <w:lang w:val="es-ES"/>
        </w:rPr>
        <w:t>Krka y Lupi</w:t>
      </w:r>
      <w:r>
        <w:rPr>
          <w:color w:val="000000"/>
          <w:lang w:val="es-ES"/>
        </w:rPr>
        <w:t xml:space="preserve">n. Servier es la propietaria de la patente del </w:t>
      </w:r>
      <w:r>
        <w:rPr>
          <w:i/>
          <w:color w:val="000000"/>
          <w:lang w:val="es-ES"/>
        </w:rPr>
        <w:t>blo</w:t>
      </w:r>
      <w:r w:rsidRPr="004E7258">
        <w:rPr>
          <w:i/>
          <w:color w:val="000000"/>
          <w:lang w:val="es-ES"/>
        </w:rPr>
        <w:t>ckbuster</w:t>
      </w:r>
      <w:r>
        <w:rPr>
          <w:color w:val="000000"/>
          <w:lang w:val="es-ES"/>
        </w:rPr>
        <w:t xml:space="preserve"> contra la hipertensión </w:t>
      </w:r>
      <w:r>
        <w:rPr>
          <w:i/>
          <w:lang w:val="es-ES"/>
        </w:rPr>
        <w:t>P</w:t>
      </w:r>
      <w:r w:rsidRPr="004E7258">
        <w:rPr>
          <w:i/>
          <w:lang w:val="es-ES"/>
        </w:rPr>
        <w:t>erindopril</w:t>
      </w:r>
      <w:r>
        <w:rPr>
          <w:i/>
          <w:lang w:val="es-ES"/>
        </w:rPr>
        <w:t xml:space="preserve"> </w:t>
      </w:r>
      <w:r>
        <w:rPr>
          <w:lang w:val="es-ES"/>
        </w:rPr>
        <w:t>(el producto más vendido por Servier)</w:t>
      </w:r>
      <w:r>
        <w:rPr>
          <w:lang w:val="es-ES"/>
        </w:rPr>
        <w:t>.</w:t>
      </w:r>
    </w:p>
    <w:p w14:paraId="32DF5DE9" w14:textId="77777777" w:rsidR="00422337" w:rsidRDefault="00422337" w:rsidP="00422337">
      <w:pPr>
        <w:ind w:left="0" w:firstLine="360"/>
        <w:rPr>
          <w:lang w:val="es-ES"/>
        </w:rPr>
      </w:pPr>
    </w:p>
    <w:p w14:paraId="5CDCF258" w14:textId="2700C6A5" w:rsidR="00422337" w:rsidRDefault="00422337" w:rsidP="00422337">
      <w:pPr>
        <w:ind w:left="0" w:firstLine="360"/>
        <w:rPr>
          <w:lang w:val="es-ES"/>
        </w:rPr>
      </w:pPr>
      <w:r>
        <w:rPr>
          <w:lang w:val="es-ES"/>
        </w:rPr>
        <w:t>La Comisión Europea ha considerado que Servier compraba cualquier amenaza para la competencia que surgiera en el mercado en forma de genérico. La patente principal del Perindopril expiró en 2003 pero contaba con otra serie de patentes secundarias que extendían la protección del producto más allá de esta fecha. Cuando los productores de genéricos se decidían a sacar sus productos al mercado se encontraban con el hecho de  que, o bien, tenían que litigar sobre la validez legal de las patentes secundarias de Servier o tenían que buscar una ruta alternativa, tecnológicamente hablando, para poder desarrollar sus productos sin violar los derechos de propiedad intelectual de la compañía innovadora. En 2004 Servier compró la tecnología más avanzada que permitía rodear sus patentes y con el único objetivo de que ésta no fuera accesible a sus competidores, puesto que nunca la llego a utilizar.</w:t>
      </w:r>
    </w:p>
    <w:p w14:paraId="63D17DA8" w14:textId="77777777" w:rsidR="00422337" w:rsidRDefault="00422337" w:rsidP="00422337">
      <w:pPr>
        <w:ind w:left="0" w:firstLine="360"/>
        <w:rPr>
          <w:lang w:val="es-ES"/>
        </w:rPr>
      </w:pPr>
    </w:p>
    <w:p w14:paraId="6D3B5AEB" w14:textId="49160312" w:rsidR="00422337" w:rsidRDefault="00422337" w:rsidP="00422337">
      <w:pPr>
        <w:ind w:left="0" w:firstLine="360"/>
        <w:rPr>
          <w:lang w:val="es-ES"/>
        </w:rPr>
      </w:pPr>
      <w:r>
        <w:rPr>
          <w:lang w:val="es-ES"/>
        </w:rPr>
        <w:t xml:space="preserve">De 2005 a 2007 Servier resolvió los litigios sobre patentes con las compañías de genéricos mediante acuerdos </w:t>
      </w:r>
      <w:r w:rsidR="00575FBA">
        <w:rPr>
          <w:lang w:val="es-ES"/>
        </w:rPr>
        <w:t>transaccionales</w:t>
      </w:r>
      <w:r>
        <w:rPr>
          <w:lang w:val="es-ES"/>
        </w:rPr>
        <w:t xml:space="preserve"> en los que la francesa concedía un porcentaje de sus ingresos si se estas se retiraban en sus pretensiones y se abstenían de competir. Durante estos dos años se llegaron a este tipo de acuerdos en cinco ocasiones. En otro caso se ofreció a uno de los fabricantes de genéricos licencias para siete mercados nacionales, eso sí, con la condición de no comercializar el producto en el resto del mercado comunitario y no insistir en el lanzamiento de su versión genérica del Perindropil.</w:t>
      </w:r>
    </w:p>
    <w:p w14:paraId="6436B8CA" w14:textId="77777777" w:rsidR="00A41D8D" w:rsidRDefault="00A41D8D" w:rsidP="00A41D8D">
      <w:pPr>
        <w:ind w:left="0"/>
        <w:rPr>
          <w:lang w:val="es-ES"/>
        </w:rPr>
      </w:pPr>
    </w:p>
    <w:p w14:paraId="24A29F47" w14:textId="4FE15705" w:rsidR="00A41D8D" w:rsidRDefault="00A41D8D" w:rsidP="00A41D8D">
      <w:pPr>
        <w:ind w:left="0" w:firstLine="360"/>
        <w:rPr>
          <w:lang w:val="es-ES"/>
        </w:rPr>
      </w:pPr>
      <w:r>
        <w:rPr>
          <w:lang w:val="es-ES"/>
        </w:rPr>
        <w:t>Servir emitió un comunicado posterior a la sanción de la CE en la que estimó que "l</w:t>
      </w:r>
      <w:r w:rsidRPr="00A41D8D">
        <w:rPr>
          <w:lang w:val="es-ES"/>
        </w:rPr>
        <w:t>a entrada de los genéricos no se ha retrasado y Servier ha actuado de manera legítima y transparente para defender sus patentes, que son esenciales en el continuo desarrollo de medicamentos innovadores para el ben</w:t>
      </w:r>
      <w:r>
        <w:rPr>
          <w:lang w:val="es-ES"/>
        </w:rPr>
        <w:t>eficio de los pacientes" u que los</w:t>
      </w:r>
      <w:r w:rsidRPr="00A41D8D">
        <w:rPr>
          <w:lang w:val="es-ES"/>
        </w:rPr>
        <w:t xml:space="preserve"> acuerdos, según la compañía, fueron una manera "legítima" de finalizar los "largos, costosos e inciertos" litigios. "La decisión de la Comisión crea un lamentable precedente para la industria, que apuesta por la propiedad intelectual. Por condenar acuerdos sobre patentes, que responden a intereses legítimos comerciales, la CE hace que los litigios de patentes sean más arriesgados y costos"</w:t>
      </w:r>
      <w:r>
        <w:rPr>
          <w:lang w:val="es-ES"/>
        </w:rPr>
        <w:t>.</w:t>
      </w:r>
    </w:p>
    <w:p w14:paraId="60D7BFAE" w14:textId="77777777" w:rsidR="00A41D8D" w:rsidRDefault="00A41D8D" w:rsidP="00A41D8D">
      <w:pPr>
        <w:ind w:left="0" w:firstLine="360"/>
        <w:rPr>
          <w:lang w:val="es-ES"/>
        </w:rPr>
      </w:pPr>
    </w:p>
    <w:p w14:paraId="57EB68A0" w14:textId="57C592B2" w:rsidR="00A41D8D" w:rsidRDefault="00A41D8D" w:rsidP="00375298">
      <w:pPr>
        <w:ind w:left="0" w:firstLine="360"/>
        <w:rPr>
          <w:lang w:val="es-ES"/>
        </w:rPr>
      </w:pPr>
      <w:r>
        <w:rPr>
          <w:lang w:val="es-ES"/>
        </w:rPr>
        <w:t xml:space="preserve">Este </w:t>
      </w:r>
      <w:r>
        <w:rPr>
          <w:lang w:val="es-ES"/>
        </w:rPr>
        <w:t>tipo de conducta</w:t>
      </w:r>
      <w:r>
        <w:rPr>
          <w:lang w:val="es-ES"/>
        </w:rPr>
        <w:t>s también</w:t>
      </w:r>
      <w:r>
        <w:rPr>
          <w:lang w:val="es-ES"/>
        </w:rPr>
        <w:t xml:space="preserve"> ha</w:t>
      </w:r>
      <w:r>
        <w:rPr>
          <w:lang w:val="es-ES"/>
        </w:rPr>
        <w:t>n</w:t>
      </w:r>
      <w:r>
        <w:rPr>
          <w:lang w:val="es-ES"/>
        </w:rPr>
        <w:t xml:space="preserve"> sido censurada</w:t>
      </w:r>
      <w:r>
        <w:rPr>
          <w:lang w:val="es-ES"/>
        </w:rPr>
        <w:t>s</w:t>
      </w:r>
      <w:r>
        <w:rPr>
          <w:lang w:val="es-ES"/>
        </w:rPr>
        <w:t xml:space="preserve"> por part</w:t>
      </w:r>
      <w:r>
        <w:rPr>
          <w:lang w:val="es-ES"/>
        </w:rPr>
        <w:t>e de las autoridades americanas. Allí son conocidas como</w:t>
      </w:r>
      <w:r>
        <w:rPr>
          <w:lang w:val="es-ES"/>
        </w:rPr>
        <w:t xml:space="preserve"> los acuerdos</w:t>
      </w:r>
      <w:r>
        <w:rPr>
          <w:lang w:val="es-ES"/>
        </w:rPr>
        <w:t xml:space="preserve"> de</w:t>
      </w:r>
      <w:r>
        <w:rPr>
          <w:lang w:val="es-ES"/>
        </w:rPr>
        <w:t xml:space="preserve"> </w:t>
      </w:r>
      <w:r w:rsidRPr="00A41D8D">
        <w:rPr>
          <w:i/>
          <w:lang w:val="es-ES"/>
        </w:rPr>
        <w:t>“pay-to-delay”</w:t>
      </w:r>
      <w:r>
        <w:rPr>
          <w:lang w:val="es-ES"/>
        </w:rPr>
        <w:t xml:space="preserve">. Empresas como </w:t>
      </w:r>
      <w:r w:rsidRPr="00A41D8D">
        <w:rPr>
          <w:i/>
          <w:lang w:val="es-ES"/>
        </w:rPr>
        <w:t>Abbvie</w:t>
      </w:r>
      <w:r>
        <w:rPr>
          <w:lang w:val="es-ES"/>
        </w:rPr>
        <w:t xml:space="preserve"> y </w:t>
      </w:r>
      <w:r w:rsidRPr="00A41D8D">
        <w:rPr>
          <w:i/>
          <w:lang w:val="es-ES"/>
        </w:rPr>
        <w:t>Teva</w:t>
      </w:r>
      <w:r>
        <w:rPr>
          <w:lang w:val="es-ES"/>
        </w:rPr>
        <w:t xml:space="preserve"> han sido demandadas por </w:t>
      </w:r>
      <w:r w:rsidRPr="00A41D8D">
        <w:rPr>
          <w:i/>
          <w:lang w:val="es-ES"/>
        </w:rPr>
        <w:t>U.S. Federal Trade Comission</w:t>
      </w:r>
      <w:r>
        <w:rPr>
          <w:lang w:val="es-ES"/>
        </w:rPr>
        <w:t xml:space="preserve"> por incumplir las leyes para la defensa de la competencia. Una decisión sin precedentes del Tribunal Supremo de los Estados Unidos ha declarado esta práctica como como una violación de las leyes de la competencia. En estos </w:t>
      </w:r>
      <w:r>
        <w:rPr>
          <w:lang w:val="es-ES"/>
        </w:rPr>
        <w:t>pactos</w:t>
      </w:r>
      <w:r>
        <w:rPr>
          <w:lang w:val="es-ES"/>
        </w:rPr>
        <w:t xml:space="preserve">, una compañía innovadora llega a un </w:t>
      </w:r>
      <w:r>
        <w:rPr>
          <w:lang w:val="es-ES"/>
        </w:rPr>
        <w:t>acuerdo amistoso</w:t>
      </w:r>
      <w:r>
        <w:rPr>
          <w:lang w:val="es-ES"/>
        </w:rPr>
        <w:t xml:space="preserve"> con un productor de genéricos rival a cambio de finalizar los litigios sobre patentes que tuvieran en proceso y su beneplácito para que el segundo lance el genérico en una fecha futura que queda fijada. La industria farmacéutica se defiende en estos casos diciendo que no es que los acuerdos no sean legales, sino que, además, permiten a los fármacos genéricos salir al mercado más rápido que si los pleitos continuaran.</w:t>
      </w:r>
    </w:p>
    <w:p w14:paraId="75B5BAA0" w14:textId="77777777" w:rsidR="00375298" w:rsidRDefault="00375298" w:rsidP="00375298">
      <w:pPr>
        <w:ind w:left="0" w:firstLine="360"/>
        <w:rPr>
          <w:lang w:val="es-ES"/>
        </w:rPr>
      </w:pPr>
    </w:p>
    <w:p w14:paraId="611FF4F0" w14:textId="77777777" w:rsidR="00375298" w:rsidRDefault="00375298" w:rsidP="00284F08">
      <w:pPr>
        <w:pStyle w:val="Ttulo2"/>
        <w:rPr>
          <w:lang w:val="es-ES"/>
        </w:rPr>
      </w:pPr>
      <w:bookmarkStart w:id="99" w:name="_Toc400525403"/>
    </w:p>
    <w:p w14:paraId="6A25B38A" w14:textId="2204806B" w:rsidR="00284F08" w:rsidRDefault="00284F08" w:rsidP="00284F08">
      <w:pPr>
        <w:pStyle w:val="Ttulo2"/>
        <w:rPr>
          <w:lang w:val="es-ES"/>
        </w:rPr>
      </w:pPr>
      <w:r>
        <w:rPr>
          <w:lang w:val="es-ES"/>
        </w:rPr>
        <w:t>6.4. Productos de segunda generación.</w:t>
      </w:r>
      <w:bookmarkEnd w:id="99"/>
    </w:p>
    <w:p w14:paraId="44F84664" w14:textId="78F6F4D8" w:rsidR="00284F08" w:rsidRDefault="00284F08" w:rsidP="00B73735">
      <w:pPr>
        <w:ind w:left="0"/>
        <w:rPr>
          <w:lang w:val="es-ES"/>
        </w:rPr>
      </w:pPr>
    </w:p>
    <w:p w14:paraId="351BEC6B" w14:textId="56EC90A1" w:rsidR="002D0A51" w:rsidRPr="002D0A51" w:rsidRDefault="002D0A51" w:rsidP="00B83CF2">
      <w:pPr>
        <w:ind w:left="0" w:firstLine="360"/>
        <w:rPr>
          <w:lang w:val="es-ES"/>
        </w:rPr>
      </w:pPr>
      <w:r>
        <w:rPr>
          <w:lang w:val="es-ES"/>
        </w:rPr>
        <w:t xml:space="preserve">Los productos de segunda generación también conocidos como </w:t>
      </w:r>
      <w:r w:rsidRPr="002D0A51">
        <w:rPr>
          <w:i/>
          <w:lang w:val="es-ES"/>
        </w:rPr>
        <w:t>“</w:t>
      </w:r>
      <w:r>
        <w:rPr>
          <w:i/>
          <w:lang w:val="es-ES"/>
        </w:rPr>
        <w:t>follow-on products”</w:t>
      </w:r>
      <w:r>
        <w:rPr>
          <w:lang w:val="es-ES"/>
        </w:rPr>
        <w:t xml:space="preserve"> se pueden definir como productos que son el resultado de la continuación del I+D de un producto existente, o primer producto, y que tienen, en su esencia, el mismo modo de acción. Los productos de segunda generación  pueden tener el mismo principio activo que el primer producto o uno distinto.</w:t>
      </w:r>
    </w:p>
    <w:p w14:paraId="5D73E01D" w14:textId="77777777" w:rsidR="002D0A51" w:rsidRDefault="002D0A51" w:rsidP="00B73735">
      <w:pPr>
        <w:ind w:left="0"/>
        <w:rPr>
          <w:i/>
          <w:lang w:val="es-ES"/>
        </w:rPr>
      </w:pPr>
    </w:p>
    <w:p w14:paraId="407F4BA6" w14:textId="1461AE91" w:rsidR="00C26B46" w:rsidRDefault="00104FC9" w:rsidP="00B83CF2">
      <w:pPr>
        <w:ind w:left="0" w:firstLine="360"/>
        <w:rPr>
          <w:lang w:val="es-ES"/>
        </w:rPr>
      </w:pPr>
      <w:r w:rsidRPr="00104FC9">
        <w:rPr>
          <w:lang w:val="es-ES"/>
        </w:rPr>
        <w:t>Pues bien, cuando se lanza un product</w:t>
      </w:r>
      <w:r>
        <w:rPr>
          <w:lang w:val="es-ES"/>
        </w:rPr>
        <w:t>o de segunda generación las compañías pueden aprovechar la situación para tratar poner en marcha una práctica de evergreening con sus patentes. Se remplaza un producto que se sabe que su patente está a punto de expirar por otro, que está en su esencia basado en éste, pero algo mejorado en alguno de sus aspectos. Con esto se trata de buscar la prórroga de su posición privilegiada en el mercado el mayor tiempo posible. Obviamente el propietario de la patente ha tenido que realizar un trabajo para que se le conceda la patente pero posiblemente las mejoras obtenidas sean marginales.</w:t>
      </w:r>
    </w:p>
    <w:p w14:paraId="079FB14E" w14:textId="77777777" w:rsidR="00104FC9" w:rsidRDefault="00104FC9" w:rsidP="00B73735">
      <w:pPr>
        <w:ind w:left="0"/>
        <w:rPr>
          <w:lang w:val="es-ES"/>
        </w:rPr>
      </w:pPr>
    </w:p>
    <w:p w14:paraId="67D1C836" w14:textId="2772F277" w:rsidR="00410B8F" w:rsidRDefault="00953118" w:rsidP="00B83CF2">
      <w:pPr>
        <w:ind w:left="0" w:firstLine="360"/>
        <w:rPr>
          <w:lang w:val="es-ES"/>
        </w:rPr>
      </w:pPr>
      <w:r>
        <w:rPr>
          <w:lang w:val="es-ES"/>
        </w:rPr>
        <w:t>Una vez obtenida la patente y la autorización de comercialización del producto de segunda generación se ha de ejercer una importante labor de difusión y marketing, sobre todo entre los facultativos encargados de la prescripción. Muchas veces se facilita esta situación retirando el fármaco de primera generación del mercado, limitando las opciones a los médicos y pacientes. Estos se ven obligados a recetar y consumir, respectivamente, el fármaco de segunda generación. Los estudios de mercado demuestran que una vez que se tienen consolidados a los clientes/pacientes</w:t>
      </w:r>
      <w:r w:rsidR="00C26B46" w:rsidRPr="00104FC9">
        <w:rPr>
          <w:lang w:val="es-ES"/>
        </w:rPr>
        <w:t xml:space="preserve"> </w:t>
      </w:r>
      <w:r>
        <w:rPr>
          <w:lang w:val="es-ES"/>
        </w:rPr>
        <w:t xml:space="preserve">es difícil que, cuando entre en el mercado la versión genérica del medicamento de primera generación, estos cambien al genérico. Es más, con esta práctica se impide que los farmacéuticos puedan ejercer la intercambiabilidad puesto que </w:t>
      </w:r>
      <w:r w:rsidR="00BC6713">
        <w:rPr>
          <w:lang w:val="es-ES"/>
        </w:rPr>
        <w:t>el fármaco de segunda generación, recetado por el médico, y el genérico no serán bioequivalentes.</w:t>
      </w:r>
    </w:p>
    <w:p w14:paraId="3DD17499" w14:textId="77777777" w:rsidR="00BC6713" w:rsidRDefault="00BC6713" w:rsidP="00B73735">
      <w:pPr>
        <w:ind w:left="0"/>
        <w:rPr>
          <w:lang w:val="es-ES"/>
        </w:rPr>
      </w:pPr>
    </w:p>
    <w:p w14:paraId="1798F1AE" w14:textId="7F7DA712" w:rsidR="00BC6713" w:rsidRDefault="00BC6713" w:rsidP="00B83CF2">
      <w:pPr>
        <w:ind w:left="0" w:firstLine="360"/>
        <w:rPr>
          <w:lang w:val="es-ES"/>
        </w:rPr>
      </w:pPr>
      <w:r>
        <w:rPr>
          <w:lang w:val="es-ES"/>
        </w:rPr>
        <w:t>En los casos más extremos el propietario de la patente del fármaco de primera generación</w:t>
      </w:r>
      <w:r w:rsidR="00D54ECD">
        <w:rPr>
          <w:lang w:val="es-ES"/>
        </w:rPr>
        <w:t xml:space="preserve"> puede solicitar la prohibición</w:t>
      </w:r>
      <w:r>
        <w:rPr>
          <w:lang w:val="es-ES"/>
        </w:rPr>
        <w:t xml:space="preserve"> de </w:t>
      </w:r>
      <w:r w:rsidR="00D54ECD">
        <w:rPr>
          <w:lang w:val="es-ES"/>
        </w:rPr>
        <w:t xml:space="preserve">la </w:t>
      </w:r>
      <w:r>
        <w:rPr>
          <w:lang w:val="es-ES"/>
        </w:rPr>
        <w:t>comercialización de éste. Con esto se consigue cerrar totalmente la puerta del mercado a las compañías que han desarrollado los genéricos que replican al primer producto.</w:t>
      </w:r>
    </w:p>
    <w:p w14:paraId="7A894E43" w14:textId="77777777" w:rsidR="00BC6713" w:rsidRDefault="00BC6713" w:rsidP="00B73735">
      <w:pPr>
        <w:ind w:left="0"/>
        <w:rPr>
          <w:lang w:val="es-ES"/>
        </w:rPr>
      </w:pPr>
    </w:p>
    <w:p w14:paraId="1E0E6D80" w14:textId="424C2148" w:rsidR="00BC6713" w:rsidRDefault="00A41D8D" w:rsidP="00B83CF2">
      <w:pPr>
        <w:ind w:left="0" w:firstLine="360"/>
        <w:rPr>
          <w:i/>
          <w:lang w:val="es-ES"/>
        </w:rPr>
      </w:pPr>
      <w:r>
        <w:rPr>
          <w:noProof/>
          <w:lang w:val="es-ES" w:eastAsia="es-ES"/>
        </w:rPr>
        <mc:AlternateContent>
          <mc:Choice Requires="wps">
            <w:drawing>
              <wp:anchor distT="0" distB="0" distL="114300" distR="114300" simplePos="0" relativeHeight="251717120" behindDoc="1" locked="0" layoutInCell="1" allowOverlap="1" wp14:anchorId="63C20CC5" wp14:editId="12B5F5E9">
                <wp:simplePos x="0" y="0"/>
                <wp:positionH relativeFrom="margin">
                  <wp:align>left</wp:align>
                </wp:positionH>
                <wp:positionV relativeFrom="paragraph">
                  <wp:posOffset>1597796</wp:posOffset>
                </wp:positionV>
                <wp:extent cx="2893060" cy="635"/>
                <wp:effectExtent l="0" t="0" r="2540" b="5715"/>
                <wp:wrapTight wrapText="bothSides">
                  <wp:wrapPolygon edited="0">
                    <wp:start x="0" y="0"/>
                    <wp:lineTo x="0" y="20870"/>
                    <wp:lineTo x="21477" y="20870"/>
                    <wp:lineTo x="21477" y="0"/>
                    <wp:lineTo x="0" y="0"/>
                  </wp:wrapPolygon>
                </wp:wrapTight>
                <wp:docPr id="453" name="Cuadro de texto 453"/>
                <wp:cNvGraphicFramePr/>
                <a:graphic xmlns:a="http://schemas.openxmlformats.org/drawingml/2006/main">
                  <a:graphicData uri="http://schemas.microsoft.com/office/word/2010/wordprocessingShape">
                    <wps:wsp>
                      <wps:cNvSpPr txBox="1"/>
                      <wps:spPr>
                        <a:xfrm>
                          <a:off x="0" y="0"/>
                          <a:ext cx="2893060" cy="635"/>
                        </a:xfrm>
                        <a:prstGeom prst="rect">
                          <a:avLst/>
                        </a:prstGeom>
                        <a:solidFill>
                          <a:prstClr val="white"/>
                        </a:solidFill>
                        <a:ln>
                          <a:noFill/>
                        </a:ln>
                        <a:effectLst/>
                      </wps:spPr>
                      <wps:txbx>
                        <w:txbxContent>
                          <w:p w14:paraId="7F5D79EE" w14:textId="77777777" w:rsidR="00A5627F" w:rsidRDefault="00A5627F" w:rsidP="001B2BDD">
                            <w:pPr>
                              <w:pStyle w:val="Descripcin"/>
                              <w:jc w:val="center"/>
                              <w:rPr>
                                <w:lang w:val="es-ES"/>
                              </w:rPr>
                            </w:pPr>
                            <w:bookmarkStart w:id="100" w:name="_Toc400525296"/>
                            <w:r w:rsidRPr="001B2BDD">
                              <w:rPr>
                                <w:lang w:val="es-ES"/>
                              </w:rPr>
                              <w:t xml:space="preserve">Ilustración </w:t>
                            </w:r>
                            <w:r>
                              <w:fldChar w:fldCharType="begin"/>
                            </w:r>
                            <w:r w:rsidRPr="001B2BDD">
                              <w:rPr>
                                <w:lang w:val="es-ES"/>
                              </w:rPr>
                              <w:instrText xml:space="preserve"> SEQ Ilustración \* ARABIC </w:instrText>
                            </w:r>
                            <w:r>
                              <w:fldChar w:fldCharType="separate"/>
                            </w:r>
                            <w:r w:rsidR="0099684C">
                              <w:rPr>
                                <w:noProof/>
                                <w:lang w:val="es-ES"/>
                              </w:rPr>
                              <w:t>21</w:t>
                            </w:r>
                            <w:r>
                              <w:fldChar w:fldCharType="end"/>
                            </w:r>
                            <w:r w:rsidRPr="001B2BDD">
                              <w:rPr>
                                <w:lang w:val="es-ES"/>
                              </w:rPr>
                              <w:t xml:space="preserve"> - Comparativa entre la versión de primera y segunda generación del OxyContin.</w:t>
                            </w:r>
                            <w:bookmarkEnd w:id="100"/>
                          </w:p>
                          <w:p w14:paraId="3A1747F3" w14:textId="401BA7AE" w:rsidR="00A5627F" w:rsidRPr="00E50E9F" w:rsidRDefault="00A5627F" w:rsidP="001B2BDD">
                            <w:pPr>
                              <w:pStyle w:val="Descripcin"/>
                              <w:jc w:val="center"/>
                            </w:pPr>
                            <w:r>
                              <w:t>Fuente: Purdue.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C20CC5" id="Cuadro de texto 453" o:spid="_x0000_s1045" type="#_x0000_t202" style="position:absolute;left:0;text-align:left;margin-left:0;margin-top:125.8pt;width:227.8pt;height:.05pt;z-index:-251599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" stroked="f">
                <v:textbox style="mso-fit-shape-to-text:t" inset="0,0,0,0">
                  <w:txbxContent>
                    <w:p w14:paraId="7F5D79EE" w14:textId="77777777" w:rsidR="00A5627F" w:rsidRDefault="00A5627F" w:rsidP="001B2BDD">
                      <w:pPr>
                        <w:pStyle w:val="Descripcin"/>
                        <w:jc w:val="center"/>
                        <w:rPr>
                          <w:lang w:val="es-ES"/>
                        </w:rPr>
                      </w:pPr>
                      <w:bookmarkStart w:id="101" w:name="_Toc400525296"/>
                      <w:r w:rsidRPr="001B2BDD">
                        <w:rPr>
                          <w:lang w:val="es-ES"/>
                        </w:rPr>
                        <w:t xml:space="preserve">Ilustración </w:t>
                      </w:r>
                      <w:r>
                        <w:fldChar w:fldCharType="begin"/>
                      </w:r>
                      <w:r w:rsidRPr="001B2BDD">
                        <w:rPr>
                          <w:lang w:val="es-ES"/>
                        </w:rPr>
                        <w:instrText xml:space="preserve"> SEQ Ilustración \* ARABIC </w:instrText>
                      </w:r>
                      <w:r>
                        <w:fldChar w:fldCharType="separate"/>
                      </w:r>
                      <w:r w:rsidR="0099684C">
                        <w:rPr>
                          <w:noProof/>
                          <w:lang w:val="es-ES"/>
                        </w:rPr>
                        <w:t>21</w:t>
                      </w:r>
                      <w:r>
                        <w:fldChar w:fldCharType="end"/>
                      </w:r>
                      <w:r w:rsidRPr="001B2BDD">
                        <w:rPr>
                          <w:lang w:val="es-ES"/>
                        </w:rPr>
                        <w:t xml:space="preserve"> - Comparativa entre la versión de primera y segunda generación del OxyContin.</w:t>
                      </w:r>
                      <w:bookmarkEnd w:id="101"/>
                    </w:p>
                    <w:p w14:paraId="3A1747F3" w14:textId="401BA7AE" w:rsidR="00A5627F" w:rsidRPr="00E50E9F" w:rsidRDefault="00A5627F" w:rsidP="001B2BDD">
                      <w:pPr>
                        <w:pStyle w:val="Descripcin"/>
                        <w:jc w:val="center"/>
                      </w:pPr>
                      <w:r>
                        <w:t>Fuente: Purdue.</w:t>
                      </w:r>
                    </w:p>
                  </w:txbxContent>
                </v:textbox>
                <w10:wrap type="tight" anchorx="margin"/>
              </v:shape>
            </w:pict>
          </mc:Fallback>
        </mc:AlternateContent>
      </w:r>
      <w:r>
        <w:rPr>
          <w:noProof/>
          <w:lang w:val="es-ES" w:eastAsia="es-ES"/>
        </w:rPr>
        <w:drawing>
          <wp:anchor distT="0" distB="0" distL="114300" distR="114300" simplePos="0" relativeHeight="251707904" behindDoc="1" locked="0" layoutInCell="1" allowOverlap="1" wp14:anchorId="34945A55" wp14:editId="7DA5AA6F">
            <wp:simplePos x="0" y="0"/>
            <wp:positionH relativeFrom="margin">
              <wp:posOffset>43815</wp:posOffset>
            </wp:positionH>
            <wp:positionV relativeFrom="paragraph">
              <wp:posOffset>24130</wp:posOffset>
            </wp:positionV>
            <wp:extent cx="2853055" cy="1536065"/>
            <wp:effectExtent l="19050" t="19050" r="23495" b="26035"/>
            <wp:wrapTight wrapText="bothSides">
              <wp:wrapPolygon edited="0">
                <wp:start x="-144" y="-268"/>
                <wp:lineTo x="-144" y="21698"/>
                <wp:lineTo x="21634" y="21698"/>
                <wp:lineTo x="21634" y="-268"/>
                <wp:lineTo x="-144" y="-268"/>
              </wp:wrapPolygon>
            </wp:wrapTight>
            <wp:docPr id="31" name="Imagen 31" descr="http://graphics8.nytimes.com/images/2013/01/02/business/JP-PAIN/JP-PAIN-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1/02/business/JP-PAIN/JP-PAIN-popu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3055" cy="1536065"/>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sidR="00BC6713" w:rsidRPr="00BC6713">
        <w:rPr>
          <w:lang w:val="es-ES"/>
        </w:rPr>
        <w:t xml:space="preserve">Este es el caso de la farmacéutica </w:t>
      </w:r>
      <w:r w:rsidR="00BC6713" w:rsidRPr="00BC6713">
        <w:rPr>
          <w:i/>
          <w:lang w:val="es-ES"/>
        </w:rPr>
        <w:t>Purdue</w:t>
      </w:r>
      <w:r w:rsidR="00BC6713" w:rsidRPr="00BC6713">
        <w:rPr>
          <w:lang w:val="es-ES"/>
        </w:rPr>
        <w:t>. Esta  compañía fabr</w:t>
      </w:r>
      <w:r w:rsidR="00BC6713">
        <w:rPr>
          <w:lang w:val="es-ES"/>
        </w:rPr>
        <w:t xml:space="preserve">ica el muy potente analgésico de liberación prolongada </w:t>
      </w:r>
      <w:r w:rsidR="00BC6713" w:rsidRPr="00BC6713">
        <w:rPr>
          <w:i/>
          <w:lang w:val="es-ES"/>
        </w:rPr>
        <w:t>OxyContin</w:t>
      </w:r>
      <w:r w:rsidR="00BC6713">
        <w:rPr>
          <w:lang w:val="es-ES"/>
        </w:rPr>
        <w:t xml:space="preserve"> que es tremendamente adictivo y que</w:t>
      </w:r>
      <w:r w:rsidR="00D54ECD">
        <w:rPr>
          <w:lang w:val="es-ES"/>
        </w:rPr>
        <w:t>,</w:t>
      </w:r>
      <w:r w:rsidR="00BC6713">
        <w:rPr>
          <w:lang w:val="es-ES"/>
        </w:rPr>
        <w:t xml:space="preserve"> cuando la tableta es machacada</w:t>
      </w:r>
      <w:r w:rsidR="00D54ECD">
        <w:rPr>
          <w:lang w:val="es-ES"/>
        </w:rPr>
        <w:t>,</w:t>
      </w:r>
      <w:r w:rsidR="00BC6713">
        <w:rPr>
          <w:lang w:val="es-ES"/>
        </w:rPr>
        <w:t xml:space="preserve"> sus efectos se vuelven instantáneos y altamente peligrosos. Pues bien, </w:t>
      </w:r>
      <w:r w:rsidR="00BC6713" w:rsidRPr="00BC6713">
        <w:rPr>
          <w:i/>
          <w:lang w:val="es-ES"/>
        </w:rPr>
        <w:t>Purdue</w:t>
      </w:r>
      <w:r w:rsidR="00BC6713">
        <w:rPr>
          <w:i/>
          <w:lang w:val="es-ES"/>
        </w:rPr>
        <w:t xml:space="preserve">, </w:t>
      </w:r>
      <w:r w:rsidR="00D54ECD">
        <w:rPr>
          <w:lang w:val="es-ES"/>
        </w:rPr>
        <w:t xml:space="preserve">viendo </w:t>
      </w:r>
      <w:r w:rsidR="00BC6713">
        <w:rPr>
          <w:lang w:val="es-ES"/>
        </w:rPr>
        <w:t xml:space="preserve">cercano </w:t>
      </w:r>
      <w:r w:rsidR="00D54ECD">
        <w:rPr>
          <w:lang w:val="es-ES"/>
        </w:rPr>
        <w:t xml:space="preserve">el momento de </w:t>
      </w:r>
      <w:r w:rsidR="00BC6713">
        <w:rPr>
          <w:lang w:val="es-ES"/>
        </w:rPr>
        <w:t>la llegada a término de la patente que protegía este fármaco ha desarrollado una versión del medicamento que es más resistente a ser machacada y que ha patentado. Ahora est</w:t>
      </w:r>
      <w:r w:rsidR="00D54ECD">
        <w:rPr>
          <w:lang w:val="es-ES"/>
        </w:rPr>
        <w:t xml:space="preserve">á intentando que la FDA retire </w:t>
      </w:r>
      <w:r w:rsidR="00BC6713">
        <w:rPr>
          <w:lang w:val="es-ES"/>
        </w:rPr>
        <w:t>la autorización de comercialización de la versión de primera generación que no es resistente a ser machacada aduciendo motivos de seguridad para los</w:t>
      </w:r>
      <w:r w:rsidR="00F24C83">
        <w:rPr>
          <w:lang w:val="es-ES"/>
        </w:rPr>
        <w:t xml:space="preserve"> pacientes. Una </w:t>
      </w:r>
      <w:r w:rsidR="00BC6713">
        <w:rPr>
          <w:lang w:val="es-ES"/>
        </w:rPr>
        <w:t>situación</w:t>
      </w:r>
      <w:r w:rsidR="00F24C83">
        <w:rPr>
          <w:lang w:val="es-ES"/>
        </w:rPr>
        <w:t xml:space="preserve"> identica</w:t>
      </w:r>
      <w:r w:rsidR="00BC6713">
        <w:rPr>
          <w:lang w:val="es-ES"/>
        </w:rPr>
        <w:t xml:space="preserve"> se </w:t>
      </w:r>
      <w:r w:rsidR="00F24C83">
        <w:rPr>
          <w:lang w:val="es-ES"/>
        </w:rPr>
        <w:t xml:space="preserve">está </w:t>
      </w:r>
      <w:r w:rsidR="00BC6713">
        <w:rPr>
          <w:lang w:val="es-ES"/>
        </w:rPr>
        <w:t>da</w:t>
      </w:r>
      <w:r w:rsidR="00F24C83">
        <w:rPr>
          <w:lang w:val="es-ES"/>
        </w:rPr>
        <w:t>ndo</w:t>
      </w:r>
      <w:r w:rsidR="00BC6713">
        <w:rPr>
          <w:lang w:val="es-ES"/>
        </w:rPr>
        <w:t xml:space="preserve"> con el opiáceo </w:t>
      </w:r>
      <w:r w:rsidR="00F24C83" w:rsidRPr="00F24C83">
        <w:rPr>
          <w:i/>
          <w:lang w:val="es-ES"/>
        </w:rPr>
        <w:t>Opana</w:t>
      </w:r>
      <w:r w:rsidR="00F24C83">
        <w:rPr>
          <w:lang w:val="es-ES"/>
        </w:rPr>
        <w:t xml:space="preserve"> fabricado por </w:t>
      </w:r>
      <w:r w:rsidR="00F24C83" w:rsidRPr="00F24C83">
        <w:rPr>
          <w:i/>
          <w:lang w:val="es-ES"/>
        </w:rPr>
        <w:t>Endo Pharmaceuticals.</w:t>
      </w:r>
    </w:p>
    <w:p w14:paraId="1CCF9FDF" w14:textId="77777777" w:rsidR="001B2BDD" w:rsidRDefault="001B2BDD" w:rsidP="00B73735">
      <w:pPr>
        <w:ind w:left="0"/>
        <w:rPr>
          <w:i/>
          <w:lang w:val="es-ES"/>
        </w:rPr>
      </w:pPr>
    </w:p>
    <w:p w14:paraId="6B32E847" w14:textId="2B055DE0" w:rsidR="001B2BDD" w:rsidRDefault="00D54ECD" w:rsidP="00B83CF2">
      <w:pPr>
        <w:ind w:left="0" w:firstLine="360"/>
        <w:rPr>
          <w:lang w:val="es-ES"/>
        </w:rPr>
      </w:pPr>
      <w:r>
        <w:rPr>
          <w:lang w:val="es-ES"/>
        </w:rPr>
        <w:t xml:space="preserve">Otro ejemplo similar, este en Europa, sería el del </w:t>
      </w:r>
      <w:r w:rsidRPr="00D54ECD">
        <w:rPr>
          <w:i/>
          <w:lang w:val="es-ES"/>
        </w:rPr>
        <w:t>Losec</w:t>
      </w:r>
      <w:r>
        <w:rPr>
          <w:lang w:val="es-ES"/>
        </w:rPr>
        <w:t xml:space="preserve">, fármaco fabricado por AstraZeneca. En este caso la compañía británica decidió retirar las autorizaciones de </w:t>
      </w:r>
      <w:r>
        <w:rPr>
          <w:lang w:val="es-ES"/>
        </w:rPr>
        <w:lastRenderedPageBreak/>
        <w:t xml:space="preserve">comercialización de este medicamento en Dinamarca, Suecia y Noruega cuando sacó al mercado la segunda generación del este medicamento </w:t>
      </w:r>
      <w:r w:rsidRPr="00D54ECD">
        <w:rPr>
          <w:i/>
          <w:lang w:val="es-ES"/>
        </w:rPr>
        <w:t>Losec MUPS</w:t>
      </w:r>
      <w:r>
        <w:rPr>
          <w:lang w:val="es-ES"/>
        </w:rPr>
        <w:t xml:space="preserve"> fue lanzada al mercado. En el momento de los hechos se requería que para que las versiones  genéricas del fármaco pudieran ser sacadas al mercado mediante un procedimiento abreviado, debía de existir una a autorización de comercialización de referencia. Con la retirada de las autorizaciones se conseguía que el lanzamiento de las versiones genéricas fuera más largo y costoso para las compañías de genéricos.</w:t>
      </w:r>
    </w:p>
    <w:p w14:paraId="263FAF3B" w14:textId="77777777" w:rsidR="00D54ECD" w:rsidRDefault="00D54ECD" w:rsidP="00B73735">
      <w:pPr>
        <w:ind w:left="0"/>
        <w:rPr>
          <w:lang w:val="es-ES"/>
        </w:rPr>
      </w:pPr>
    </w:p>
    <w:p w14:paraId="6D4F071C" w14:textId="4F167042" w:rsidR="007F3B02" w:rsidRDefault="007F3B02" w:rsidP="00B83CF2">
      <w:pPr>
        <w:ind w:left="0" w:firstLine="360"/>
        <w:rPr>
          <w:lang w:val="es-ES"/>
        </w:rPr>
      </w:pPr>
      <w:r>
        <w:rPr>
          <w:lang w:val="es-ES"/>
        </w:rPr>
        <w:t xml:space="preserve">En este caso el Tribunal de Justicia de la Unión Europea, en </w:t>
      </w:r>
      <w:r w:rsidR="00BF6622">
        <w:rPr>
          <w:lang w:val="es-ES"/>
        </w:rPr>
        <w:t xml:space="preserve">diciembre de </w:t>
      </w:r>
      <w:r>
        <w:rPr>
          <w:lang w:val="es-ES"/>
        </w:rPr>
        <w:t>2012, estimó que la conducta de AstraZeneca era constitutiva de un abuso de posición dominante en el mercado y, por tanto, infringía el art. 102 del TFUE. Aunque AstraZeneca alegó que no había hecho nada que no estuviera permitido por la legislación aplicable, el tribunal consideró que el comportamiento abusivo era independiente del cumplimiento o no de otras disposiciones legales. AstraZeneca, en este caso, fue incapaz de justificar el porqué de la retirada de la autorización que no fuera para perjudicar a la competencia.</w:t>
      </w:r>
    </w:p>
    <w:p w14:paraId="6A510E12" w14:textId="77777777" w:rsidR="007F3B02" w:rsidRDefault="007F3B02" w:rsidP="00B73735">
      <w:pPr>
        <w:ind w:left="0"/>
        <w:rPr>
          <w:lang w:val="es-ES"/>
        </w:rPr>
      </w:pPr>
    </w:p>
    <w:p w14:paraId="4295C897" w14:textId="4E2C3805" w:rsidR="007F3B02" w:rsidRDefault="007F3B02" w:rsidP="00B83CF2">
      <w:pPr>
        <w:ind w:left="0" w:firstLine="360"/>
        <w:rPr>
          <w:lang w:val="es-ES"/>
        </w:rPr>
      </w:pPr>
      <w:r>
        <w:rPr>
          <w:lang w:val="es-ES"/>
        </w:rPr>
        <w:t xml:space="preserve">Esta </w:t>
      </w:r>
      <w:r w:rsidR="00BF6622">
        <w:rPr>
          <w:lang w:val="es-ES"/>
        </w:rPr>
        <w:t>sentencia, aunque duramente criticada por muchos sectores, fue la primera emitida por el TJUE que estimó un abuso de una posición de dominio por parte una compañía farmacéutica por realizar prácticas de evergreening. Ha supuesto un antes y un después en el campo de las propiedad intelectual y el derecho de  la competencia.</w:t>
      </w:r>
    </w:p>
    <w:p w14:paraId="6B443684" w14:textId="736E31ED" w:rsidR="00AC16CF" w:rsidRDefault="00AC16CF" w:rsidP="00422337">
      <w:pPr>
        <w:ind w:left="0" w:firstLine="360"/>
        <w:rPr>
          <w:lang w:val="es-ES"/>
        </w:rPr>
      </w:pPr>
    </w:p>
    <w:p w14:paraId="60776AB7" w14:textId="77777777" w:rsidR="00AC16CF" w:rsidRDefault="00AC16CF" w:rsidP="00AC16CF">
      <w:pPr>
        <w:keepNext/>
        <w:ind w:left="0"/>
      </w:pPr>
      <w:r>
        <w:rPr>
          <w:noProof/>
          <w:lang w:val="es-ES" w:eastAsia="es-ES"/>
        </w:rPr>
        <w:drawing>
          <wp:inline distT="0" distB="0" distL="0" distR="0" wp14:anchorId="4A24BE39" wp14:editId="3A1D3D76">
            <wp:extent cx="5389880" cy="2863515"/>
            <wp:effectExtent l="0" t="0" r="127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Captura de pantalla (87).png"/>
                    <pic:cNvPicPr/>
                  </pic:nvPicPr>
                  <pic:blipFill rotWithShape="1">
                    <a:blip r:embed="rId36" cstate="print">
                      <a:extLst>
                        <a:ext uri="{28A0092B-C50C-407E-A947-70E740481C1C}">
                          <a14:useLocalDpi xmlns:a14="http://schemas.microsoft.com/office/drawing/2010/main" val="0"/>
                        </a:ext>
                      </a:extLst>
                    </a:blip>
                    <a:srcRect l="13819" t="3168" r="13504" b="2476"/>
                    <a:stretch/>
                  </pic:blipFill>
                  <pic:spPr bwMode="auto">
                    <a:xfrm>
                      <a:off x="0" y="0"/>
                      <a:ext cx="5397047" cy="2867323"/>
                    </a:xfrm>
                    <a:prstGeom prst="rect">
                      <a:avLst/>
                    </a:prstGeom>
                    <a:ln>
                      <a:noFill/>
                    </a:ln>
                    <a:extLst>
                      <a:ext uri="{53640926-AAD7-44D8-BBD7-CCE9431645EC}">
                        <a14:shadowObscured xmlns:a14="http://schemas.microsoft.com/office/drawing/2010/main"/>
                      </a:ext>
                    </a:extLst>
                  </pic:spPr>
                </pic:pic>
              </a:graphicData>
            </a:graphic>
          </wp:inline>
        </w:drawing>
      </w:r>
    </w:p>
    <w:p w14:paraId="6045C8B1" w14:textId="4C61A5D5" w:rsidR="00AC16CF" w:rsidRPr="00AC16CF" w:rsidRDefault="00AC16CF" w:rsidP="00AC16CF">
      <w:pPr>
        <w:pStyle w:val="Descripcin"/>
        <w:jc w:val="center"/>
        <w:rPr>
          <w:lang w:val="es-ES"/>
        </w:rPr>
      </w:pPr>
      <w:bookmarkStart w:id="102" w:name="_Toc400525297"/>
      <w:r w:rsidRPr="00AC16CF">
        <w:rPr>
          <w:lang w:val="es-ES"/>
        </w:rPr>
        <w:t xml:space="preserve">Ilustración </w:t>
      </w:r>
      <w:r>
        <w:fldChar w:fldCharType="begin"/>
      </w:r>
      <w:r w:rsidRPr="00AC16CF">
        <w:rPr>
          <w:lang w:val="es-ES"/>
        </w:rPr>
        <w:instrText xml:space="preserve"> SEQ Ilustración \* ARABIC </w:instrText>
      </w:r>
      <w:r>
        <w:fldChar w:fldCharType="separate"/>
      </w:r>
      <w:r w:rsidR="0099684C">
        <w:rPr>
          <w:noProof/>
          <w:lang w:val="es-ES"/>
        </w:rPr>
        <w:t>22</w:t>
      </w:r>
      <w:r>
        <w:fldChar w:fldCharType="end"/>
      </w:r>
      <w:r w:rsidRPr="00AC16CF">
        <w:rPr>
          <w:lang w:val="es-ES"/>
        </w:rPr>
        <w:t xml:space="preserve"> - Evolución de la ventas tras la salida al mercado de un mercado de producto de segunda generación en competencia con productos genéricos</w:t>
      </w:r>
      <w:r>
        <w:rPr>
          <w:lang w:val="es-ES"/>
        </w:rPr>
        <w:t>.</w:t>
      </w:r>
      <w:bookmarkEnd w:id="102"/>
    </w:p>
    <w:p w14:paraId="3F5F23EA" w14:textId="0B9B50CC" w:rsidR="00AC16CF" w:rsidRDefault="00AC16CF" w:rsidP="00B73735">
      <w:pPr>
        <w:ind w:left="0"/>
        <w:rPr>
          <w:lang w:val="es-ES"/>
        </w:rPr>
      </w:pPr>
    </w:p>
    <w:p w14:paraId="6FDE2FCF" w14:textId="2877FA64" w:rsidR="00BC6713" w:rsidRDefault="001671FE" w:rsidP="00B83CF2">
      <w:pPr>
        <w:ind w:left="0" w:firstLine="360"/>
        <w:rPr>
          <w:lang w:val="es-ES"/>
        </w:rPr>
      </w:pPr>
      <w:r w:rsidRPr="001671FE">
        <w:rPr>
          <w:lang w:val="es-ES"/>
        </w:rPr>
        <w:t>Lo que ha de quedar claro es que desarrollo de f</w:t>
      </w:r>
      <w:r>
        <w:rPr>
          <w:lang w:val="es-ES"/>
        </w:rPr>
        <w:t xml:space="preserve">ármacos de segunda generación no es ni mucho menos ilegal, pero las actividades que en ocasiones siguen al desarrollo y puesta en circulación del medicamento en cuestión si pueden serlo. </w:t>
      </w:r>
      <w:r w:rsidR="00AC16CF">
        <w:rPr>
          <w:lang w:val="es-ES"/>
        </w:rPr>
        <w:t>Lo que sí que es cierto es que deliberadamente se retrasa la salida al mercado de productos que pueden suponer una ayuda para los pacientes y consumidores con el único objetivo de maximizar el beneficio económico. Sí s</w:t>
      </w:r>
      <w:r>
        <w:rPr>
          <w:lang w:val="es-ES"/>
        </w:rPr>
        <w:t>erá ilegal cuando los esfuerzos de la compañía innovadora sean principalmente destinados a impedir o interponer dificultades a la entrada de competidores genéricos en el mercado.</w:t>
      </w:r>
    </w:p>
    <w:p w14:paraId="383F5C1C" w14:textId="1788518C" w:rsidR="00375298" w:rsidRDefault="00375298" w:rsidP="00B83CF2">
      <w:pPr>
        <w:ind w:left="0" w:firstLine="360"/>
        <w:rPr>
          <w:lang w:val="es-ES"/>
        </w:rPr>
      </w:pPr>
    </w:p>
    <w:p w14:paraId="5A3DFFB9" w14:textId="77777777" w:rsidR="00375298" w:rsidRPr="00AC16CF" w:rsidRDefault="00375298" w:rsidP="00B83CF2">
      <w:pPr>
        <w:ind w:left="0" w:firstLine="360"/>
        <w:rPr>
          <w:lang w:val="es-ES"/>
        </w:rPr>
      </w:pPr>
    </w:p>
    <w:p w14:paraId="72C82D2C" w14:textId="77777777" w:rsidR="00AC16CF" w:rsidRDefault="00AC16CF" w:rsidP="00B73735">
      <w:pPr>
        <w:ind w:left="0"/>
        <w:rPr>
          <w:lang w:val="es-ES"/>
        </w:rPr>
      </w:pPr>
    </w:p>
    <w:p w14:paraId="1C8FFFBE" w14:textId="2527D539" w:rsidR="001671FE" w:rsidRDefault="001671FE" w:rsidP="001671FE">
      <w:pPr>
        <w:pStyle w:val="Ttulo2"/>
        <w:rPr>
          <w:lang w:val="es-ES"/>
        </w:rPr>
      </w:pPr>
      <w:bookmarkStart w:id="103" w:name="_Toc400525404"/>
      <w:r>
        <w:rPr>
          <w:lang w:val="es-ES"/>
        </w:rPr>
        <w:lastRenderedPageBreak/>
        <w:t>6.5. Otras prácticas de cuestionables.</w:t>
      </w:r>
      <w:bookmarkEnd w:id="103"/>
    </w:p>
    <w:p w14:paraId="273130BF" w14:textId="77777777" w:rsidR="001671FE" w:rsidRDefault="001671FE" w:rsidP="00B73735">
      <w:pPr>
        <w:ind w:left="0"/>
        <w:rPr>
          <w:lang w:val="es-ES"/>
        </w:rPr>
      </w:pPr>
    </w:p>
    <w:p w14:paraId="2AAE9961" w14:textId="4359E8C9" w:rsidR="001671FE" w:rsidRPr="001671FE" w:rsidRDefault="00AC16CF" w:rsidP="00297141">
      <w:pPr>
        <w:ind w:left="0" w:firstLine="360"/>
        <w:rPr>
          <w:lang w:val="es-ES"/>
        </w:rPr>
      </w:pPr>
      <w:r>
        <w:rPr>
          <w:lang w:val="es-ES"/>
        </w:rPr>
        <w:t>El</w:t>
      </w:r>
      <w:r w:rsidR="001671FE">
        <w:rPr>
          <w:lang w:val="es-ES"/>
        </w:rPr>
        <w:t xml:space="preserve"> informe de la Comisión puso de manifiesto otra serie de prácticas realizadas por las compañías innovadoras con el objetivo de poner trabas a la comercialización de los medicamentos genéricos que pueden ser consideradas, cuanto menos, como cuestionables.</w:t>
      </w:r>
    </w:p>
    <w:p w14:paraId="46ADCAA1" w14:textId="77777777" w:rsidR="001B2BDD" w:rsidRDefault="001B2BDD" w:rsidP="00B73735">
      <w:pPr>
        <w:ind w:left="0"/>
        <w:rPr>
          <w:i/>
          <w:lang w:val="es-ES"/>
        </w:rPr>
      </w:pPr>
    </w:p>
    <w:p w14:paraId="589B3C81" w14:textId="03F62DFE" w:rsidR="00626FD0" w:rsidRDefault="00626FD0" w:rsidP="00297141">
      <w:pPr>
        <w:ind w:left="0" w:firstLine="360"/>
        <w:rPr>
          <w:lang w:val="es-ES"/>
        </w:rPr>
      </w:pPr>
      <w:r>
        <w:rPr>
          <w:lang w:val="es-ES"/>
        </w:rPr>
        <w:t xml:space="preserve">La primera de las prácticas llevadas a cabo por las compañías innovadoras consiste en contactar con los entes, nacionales o supranacionales, encargados de otorgar las autorizaciones de comercialización para poner en duda el cumplimiento de los requisitos necesarios para la concesión por parte de los productores de genéricos. Las compañías se ponen en contacto con los entes regulatorios para expresar sus incertidumbres respecto al producto genérico. Las más comunes consisten en hacer ver que el fármaco genérico no cumple las leyes de propiedad intelectual, que no es totalmente seguro para los pacientes o que no es equivalente al innovador. En algunos casos </w:t>
      </w:r>
      <w:r w:rsidR="008F396B">
        <w:rPr>
          <w:lang w:val="es-ES"/>
        </w:rPr>
        <w:t>se ha llegado a amenazar a los entes reguladores con hacerlos corresponsables de la violación del derecho de IP si concedían la autorización de comercialización antes de que se hubieran resuelto todos los pleitos sobre la patente que protegía al fármaco de referencia.</w:t>
      </w:r>
    </w:p>
    <w:p w14:paraId="453456E3" w14:textId="77777777" w:rsidR="008F396B" w:rsidRDefault="008F396B" w:rsidP="00B73735">
      <w:pPr>
        <w:ind w:left="0"/>
        <w:rPr>
          <w:lang w:val="es-ES"/>
        </w:rPr>
      </w:pPr>
    </w:p>
    <w:p w14:paraId="7EAB5775" w14:textId="61C13E21" w:rsidR="008F396B" w:rsidRDefault="008F396B" w:rsidP="00297141">
      <w:pPr>
        <w:ind w:left="0" w:firstLine="360"/>
        <w:rPr>
          <w:lang w:val="es-ES"/>
        </w:rPr>
      </w:pPr>
      <w:r>
        <w:rPr>
          <w:lang w:val="es-ES"/>
        </w:rPr>
        <w:t>En otras ocasiones se interpone la demanda directamente contra las decisiones del órgano competente por haber otorgado las autorizaciones de comercialización a productores de genéricos, por no estar de acuerdo con las circunstancias en las que se han otorgado las mismas.</w:t>
      </w:r>
    </w:p>
    <w:p w14:paraId="286FBD63" w14:textId="77777777" w:rsidR="008F396B" w:rsidRDefault="008F396B" w:rsidP="00B73735">
      <w:pPr>
        <w:ind w:left="0"/>
        <w:rPr>
          <w:lang w:val="es-ES"/>
        </w:rPr>
      </w:pPr>
    </w:p>
    <w:p w14:paraId="7206DD60" w14:textId="798F2EAF" w:rsidR="008F396B" w:rsidRDefault="008F396B" w:rsidP="00297141">
      <w:pPr>
        <w:ind w:left="0" w:firstLine="360"/>
        <w:rPr>
          <w:lang w:val="es-ES"/>
        </w:rPr>
      </w:pPr>
      <w:r>
        <w:rPr>
          <w:lang w:val="es-ES"/>
        </w:rPr>
        <w:t>Otro tipo de prácticas consiste en realizar campañas de marketing en las que se trata de hacer ver a consumidores y prescriptores los beneficios de los medicamentos de referencia y los riesgos de los medicamentos genéricos.</w:t>
      </w:r>
    </w:p>
    <w:p w14:paraId="56DD0ED7" w14:textId="77777777" w:rsidR="008F396B" w:rsidRDefault="008F396B" w:rsidP="00B73735">
      <w:pPr>
        <w:ind w:left="0"/>
        <w:rPr>
          <w:lang w:val="es-ES"/>
        </w:rPr>
      </w:pPr>
    </w:p>
    <w:p w14:paraId="7C6B76CE" w14:textId="10452C15" w:rsidR="008F396B" w:rsidRDefault="008F396B" w:rsidP="00297141">
      <w:pPr>
        <w:ind w:left="0" w:firstLine="360"/>
        <w:rPr>
          <w:lang w:val="es-ES"/>
        </w:rPr>
      </w:pPr>
      <w:r>
        <w:rPr>
          <w:lang w:val="es-ES"/>
        </w:rPr>
        <w:t xml:space="preserve">Una de las prácticas habituales reseñadas por la Comisión son las “cartas de aviso” o </w:t>
      </w:r>
      <w:r w:rsidRPr="00575FBA">
        <w:rPr>
          <w:i/>
          <w:lang w:val="es-ES"/>
        </w:rPr>
        <w:t>“warning letters”</w:t>
      </w:r>
      <w:r>
        <w:rPr>
          <w:lang w:val="es-ES"/>
        </w:rPr>
        <w:t>. Estas cartas, enviadas por las compañías innovadoras a los productores de genéricos antes de lanzar su producto al mercado informan de una violación de derechos de propiedad intelectual en caso de que finalmente se comercialicen. También se envían cartas similares a farmacéuticos, doctores u hospitales tratando de hacer ver los “supuestos” riesgos de los productos genéricos respecto a los de referencia. Otras de las cartas informan a los farmacéuticos que dispensando los productos genéricos de sus competidores están violando un derecho de patente y que este comportamiento puede tener acarrear la correspondiente responsabilidad legal.</w:t>
      </w:r>
    </w:p>
    <w:p w14:paraId="638F6C93" w14:textId="77777777" w:rsidR="008F396B" w:rsidRDefault="008F396B" w:rsidP="00B73735">
      <w:pPr>
        <w:ind w:left="0"/>
        <w:rPr>
          <w:lang w:val="es-ES"/>
        </w:rPr>
      </w:pPr>
    </w:p>
    <w:p w14:paraId="694870E2" w14:textId="3609B8A7" w:rsidR="00A41D8D" w:rsidRDefault="008F396B" w:rsidP="00DA3049">
      <w:pPr>
        <w:ind w:left="0" w:firstLine="360"/>
        <w:rPr>
          <w:lang w:val="es-ES"/>
        </w:rPr>
      </w:pPr>
      <w:r>
        <w:rPr>
          <w:lang w:val="es-ES"/>
        </w:rPr>
        <w:t>Otra práctica consiste en lanzar campañas de información por parte de las compañías innovadoras o asociaciones empresariales tratando de desprestigiar los productos genéricos ante los ojos del gran público</w:t>
      </w:r>
      <w:r w:rsidR="007B20EC">
        <w:rPr>
          <w:lang w:val="es-ES"/>
        </w:rPr>
        <w:t xml:space="preserve"> haciendo ver que estos productos no son igual de eficaces o seguros que los de referencia</w:t>
      </w:r>
      <w:r>
        <w:rPr>
          <w:lang w:val="es-ES"/>
        </w:rPr>
        <w:t>.</w:t>
      </w:r>
      <w:r w:rsidR="00DA3049">
        <w:rPr>
          <w:lang w:val="es-ES"/>
        </w:rPr>
        <w:br w:type="page"/>
      </w:r>
    </w:p>
    <w:p w14:paraId="2CB98D66" w14:textId="77777777" w:rsidR="007B20EC" w:rsidRDefault="007B20EC" w:rsidP="00B73735">
      <w:pPr>
        <w:ind w:left="0"/>
        <w:rPr>
          <w:lang w:val="es-ES"/>
        </w:rPr>
      </w:pPr>
    </w:p>
    <w:p w14:paraId="5E6D39D1" w14:textId="30B3CD3C" w:rsidR="008140C1" w:rsidRPr="008140C1" w:rsidRDefault="008140C1" w:rsidP="008140C1">
      <w:pPr>
        <w:pStyle w:val="Etiquetadefilas"/>
        <w:numPr>
          <w:ilvl w:val="0"/>
          <w:numId w:val="15"/>
        </w:numPr>
        <w:spacing w:before="0"/>
        <w:ind w:left="567" w:hanging="567"/>
        <w:rPr>
          <w:rFonts w:ascii="Arial" w:hAnsi="Arial" w:cs="Arial"/>
          <w:color w:val="FF0000"/>
          <w:szCs w:val="22"/>
        </w:rPr>
      </w:pPr>
      <w:bookmarkStart w:id="104" w:name="_Toc400525405"/>
      <w:r w:rsidRPr="008140C1">
        <w:rPr>
          <w:rFonts w:ascii="Arial" w:hAnsi="Arial" w:cs="Arial"/>
          <w:color w:val="FF0000"/>
          <w:szCs w:val="22"/>
        </w:rPr>
        <w:t>CONCLUSIONES</w:t>
      </w:r>
      <w:bookmarkEnd w:id="104"/>
    </w:p>
    <w:p w14:paraId="24149B28" w14:textId="77777777" w:rsidR="001B2BDD" w:rsidRPr="007B20EC" w:rsidRDefault="001B2BDD" w:rsidP="00B73735">
      <w:pPr>
        <w:ind w:left="0"/>
        <w:rPr>
          <w:i/>
          <w:lang w:val="es-ES"/>
        </w:rPr>
      </w:pPr>
    </w:p>
    <w:p w14:paraId="44C17179" w14:textId="28FD774B" w:rsidR="008140C1" w:rsidRDefault="008140C1" w:rsidP="004A2786">
      <w:pPr>
        <w:ind w:left="0" w:firstLine="360"/>
        <w:rPr>
          <w:lang w:val="es-ES"/>
        </w:rPr>
      </w:pPr>
      <w:r w:rsidRPr="008140C1">
        <w:rPr>
          <w:lang w:val="es-ES"/>
        </w:rPr>
        <w:t xml:space="preserve">El objetivo del presente documento ha sido ilustrar </w:t>
      </w:r>
      <w:r>
        <w:rPr>
          <w:lang w:val="es-ES"/>
        </w:rPr>
        <w:t>de una manera simple y asequible la compleja situación en que se encuentran las patentes farmacéuticas a nivel europeo (y mundial).</w:t>
      </w:r>
    </w:p>
    <w:p w14:paraId="1ED640C7" w14:textId="77777777" w:rsidR="008140C1" w:rsidRDefault="008140C1" w:rsidP="00B73735">
      <w:pPr>
        <w:ind w:left="0"/>
        <w:rPr>
          <w:lang w:val="es-ES"/>
        </w:rPr>
      </w:pPr>
    </w:p>
    <w:p w14:paraId="5D6DF29B" w14:textId="7D33F398" w:rsidR="008140C1" w:rsidRDefault="008140C1" w:rsidP="004A2786">
      <w:pPr>
        <w:ind w:left="0" w:firstLine="360"/>
        <w:rPr>
          <w:lang w:val="es-ES"/>
        </w:rPr>
      </w:pPr>
      <w:r>
        <w:rPr>
          <w:lang w:val="es-ES"/>
        </w:rPr>
        <w:t>Como es lógico hemos tenido que comenzar desde la base explicando las nociones más básicas de la propiedad intelectual y de las patentes.</w:t>
      </w:r>
    </w:p>
    <w:p w14:paraId="4C2B0221" w14:textId="77777777" w:rsidR="008140C1" w:rsidRDefault="008140C1" w:rsidP="00B73735">
      <w:pPr>
        <w:ind w:left="0"/>
        <w:rPr>
          <w:lang w:val="es-ES"/>
        </w:rPr>
      </w:pPr>
    </w:p>
    <w:p w14:paraId="0415E44E" w14:textId="6735D364" w:rsidR="00BC6713" w:rsidRDefault="008140C1" w:rsidP="004A2786">
      <w:pPr>
        <w:ind w:left="0" w:firstLine="360"/>
        <w:rPr>
          <w:lang w:val="es-ES"/>
        </w:rPr>
      </w:pPr>
      <w:r>
        <w:rPr>
          <w:lang w:val="es-ES"/>
        </w:rPr>
        <w:t>Nuevas regulaciones se acercan inexorablemente para unificar los distintos sistemas regulatorios nacionales y establecer una Corte Unificada para las patentes europeas, todo ello pese a la insistente oposición del Gobierno de España.</w:t>
      </w:r>
    </w:p>
    <w:p w14:paraId="7F61D503" w14:textId="77777777" w:rsidR="008140C1" w:rsidRDefault="008140C1" w:rsidP="00B73735">
      <w:pPr>
        <w:ind w:left="0"/>
        <w:rPr>
          <w:lang w:val="es-ES"/>
        </w:rPr>
      </w:pPr>
    </w:p>
    <w:p w14:paraId="0EF5F4B3" w14:textId="78DA0ED7" w:rsidR="008140C1" w:rsidRDefault="008140C1" w:rsidP="004A2786">
      <w:pPr>
        <w:ind w:left="0" w:firstLine="360"/>
        <w:rPr>
          <w:lang w:val="es-ES"/>
        </w:rPr>
      </w:pPr>
      <w:r>
        <w:rPr>
          <w:lang w:val="es-ES"/>
        </w:rPr>
        <w:t>Hemos tratado de dejar claro las diferencias, por un lado, entre los medicamentos químicos y biológicos y, por otro, entre los genéricos y biosimilares puesto que consideramos que entenderlas es esencial para poder entender los comportamientos de los propietarios de las patentes en el mercado.</w:t>
      </w:r>
    </w:p>
    <w:p w14:paraId="64931002" w14:textId="77777777" w:rsidR="008140C1" w:rsidRDefault="008140C1" w:rsidP="00B73735">
      <w:pPr>
        <w:ind w:left="0"/>
        <w:rPr>
          <w:lang w:val="es-ES"/>
        </w:rPr>
      </w:pPr>
    </w:p>
    <w:p w14:paraId="0C73B45C" w14:textId="2D7159A5" w:rsidR="008140C1" w:rsidRDefault="008140C1" w:rsidP="004A2786">
      <w:pPr>
        <w:ind w:left="0" w:firstLine="360"/>
        <w:rPr>
          <w:lang w:val="es-ES"/>
        </w:rPr>
      </w:pPr>
      <w:r>
        <w:rPr>
          <w:lang w:val="es-ES"/>
        </w:rPr>
        <w:t>Por otro lado, se han tratado demostrar las peculiaridades de las patentes farmacéuticas y los requisitos que las invenciones en este campo han de cumplir para poder ser patentables.</w:t>
      </w:r>
    </w:p>
    <w:p w14:paraId="0356A129" w14:textId="77777777" w:rsidR="008140C1" w:rsidRDefault="008140C1" w:rsidP="00B73735">
      <w:pPr>
        <w:ind w:left="0"/>
        <w:rPr>
          <w:lang w:val="es-ES"/>
        </w:rPr>
      </w:pPr>
    </w:p>
    <w:p w14:paraId="2DD3F7BC" w14:textId="43AACAEA" w:rsidR="008140C1" w:rsidRDefault="008140C1" w:rsidP="004A2786">
      <w:pPr>
        <w:ind w:left="0" w:firstLine="360"/>
        <w:rPr>
          <w:lang w:val="es-ES"/>
        </w:rPr>
      </w:pPr>
      <w:r>
        <w:rPr>
          <w:lang w:val="es-ES"/>
        </w:rPr>
        <w:t xml:space="preserve">El cuarto epígrafe se ha tratado de </w:t>
      </w:r>
      <w:r w:rsidR="004A2786">
        <w:rPr>
          <w:lang w:val="es-ES"/>
        </w:rPr>
        <w:t>exponer</w:t>
      </w:r>
      <w:r>
        <w:rPr>
          <w:lang w:val="es-ES"/>
        </w:rPr>
        <w:t>, mediante números y tablas, los grandes riegos que traen consigo la llegada del temido patent cliff para las grandes compañías farmacéuticas y las medidas que han tomado estos para evitarlo.</w:t>
      </w:r>
    </w:p>
    <w:p w14:paraId="1DFA56C4" w14:textId="77777777" w:rsidR="008140C1" w:rsidRDefault="008140C1" w:rsidP="00B73735">
      <w:pPr>
        <w:ind w:left="0"/>
        <w:rPr>
          <w:lang w:val="es-ES"/>
        </w:rPr>
      </w:pPr>
    </w:p>
    <w:p w14:paraId="769806FA" w14:textId="32137116" w:rsidR="008140C1" w:rsidRDefault="008140C1" w:rsidP="004A2786">
      <w:pPr>
        <w:ind w:left="0" w:firstLine="360"/>
        <w:rPr>
          <w:lang w:val="es-ES"/>
        </w:rPr>
      </w:pPr>
      <w:r>
        <w:rPr>
          <w:lang w:val="es-ES"/>
        </w:rPr>
        <w:t xml:space="preserve">Todos los epígrafes anteriores, aunque igualmente importantes, nos han servido de introducción para poder entender mejor el porqué del evergreening y a sus variadas prácticas. </w:t>
      </w:r>
    </w:p>
    <w:p w14:paraId="4F029B7A" w14:textId="77777777" w:rsidR="008140C1" w:rsidRDefault="008140C1" w:rsidP="00B73735">
      <w:pPr>
        <w:ind w:left="0"/>
        <w:rPr>
          <w:lang w:val="es-ES"/>
        </w:rPr>
      </w:pPr>
    </w:p>
    <w:p w14:paraId="79BBDBF4" w14:textId="4F30B693" w:rsidR="008140C1" w:rsidRDefault="008140C1" w:rsidP="004A2786">
      <w:pPr>
        <w:ind w:left="0" w:firstLine="360"/>
        <w:rPr>
          <w:lang w:val="es-ES"/>
        </w:rPr>
      </w:pPr>
      <w:r>
        <w:rPr>
          <w:lang w:val="es-ES"/>
        </w:rPr>
        <w:t xml:space="preserve">La conclusión a la que llega el autor es que siendo la gran mayoría de ellas legales, puesto que no suelen violar de manera manifiesta una ley, si son por los menos cuestionables. Se mueven entre la delgada línea que muchas veces separa lo legal de lo ilegal. Lo que sí creo que ha quedado </w:t>
      </w:r>
      <w:r w:rsidR="003D5916">
        <w:rPr>
          <w:lang w:val="es-ES"/>
        </w:rPr>
        <w:t>claro es que la mayoría de estas conductas</w:t>
      </w:r>
      <w:r>
        <w:rPr>
          <w:lang w:val="es-ES"/>
        </w:rPr>
        <w:t xml:space="preserve"> pueden suponer un abuso de una posición de dominio la cual, la compañía innovadora, ha alcanzado gracias a los derechos de propiedad intelectual que se le han concedido</w:t>
      </w:r>
      <w:r w:rsidR="003D5916">
        <w:rPr>
          <w:lang w:val="es-ES"/>
        </w:rPr>
        <w:t xml:space="preserve"> y por tanto crear una distorsión en el mercado e infringir las leyes para la defensa de la competencia, concretamente el art. 102 del TFUE.</w:t>
      </w:r>
    </w:p>
    <w:p w14:paraId="1AD909A9" w14:textId="77777777" w:rsidR="003D5916" w:rsidRDefault="003D5916" w:rsidP="00B73735">
      <w:pPr>
        <w:ind w:left="0"/>
        <w:rPr>
          <w:lang w:val="es-ES"/>
        </w:rPr>
      </w:pPr>
    </w:p>
    <w:p w14:paraId="13544D39" w14:textId="60E407D7" w:rsidR="003D5916" w:rsidRDefault="003D5916" w:rsidP="004A2786">
      <w:pPr>
        <w:ind w:left="0" w:firstLine="360"/>
        <w:rPr>
          <w:lang w:val="es-ES"/>
        </w:rPr>
      </w:pPr>
      <w:r>
        <w:rPr>
          <w:lang w:val="es-ES"/>
        </w:rPr>
        <w:t>La persecución por parte de las autoridades de estas prácticas de evergreening es difícil, aunque ya se han visto algunos casos, como en los ejemplos mostrados de AstraZeneca</w:t>
      </w:r>
      <w:r w:rsidR="004E7258">
        <w:rPr>
          <w:lang w:val="es-ES"/>
        </w:rPr>
        <w:t>, Servier</w:t>
      </w:r>
      <w:r>
        <w:rPr>
          <w:lang w:val="es-ES"/>
        </w:rPr>
        <w:t xml:space="preserve"> y el de las farmacéuticas AbbVie y Teva.</w:t>
      </w:r>
    </w:p>
    <w:p w14:paraId="0EDF5543" w14:textId="77777777" w:rsidR="003D5916" w:rsidRDefault="003D5916" w:rsidP="00B73735">
      <w:pPr>
        <w:ind w:left="0"/>
        <w:rPr>
          <w:lang w:val="es-ES"/>
        </w:rPr>
      </w:pPr>
    </w:p>
    <w:p w14:paraId="3ACDF599" w14:textId="3E92C595" w:rsidR="008140C1" w:rsidRPr="008140C1" w:rsidRDefault="003D5916" w:rsidP="004A2786">
      <w:pPr>
        <w:ind w:left="0" w:firstLine="360"/>
        <w:rPr>
          <w:lang w:val="es-ES"/>
        </w:rPr>
      </w:pPr>
      <w:r>
        <w:rPr>
          <w:lang w:val="es-ES"/>
        </w:rPr>
        <w:t>El autor estima que una medida que sería útil para limitar este tipo de prácticas podría consistir en incrementar las exigencias regulatorias</w:t>
      </w:r>
      <w:r w:rsidR="00131ADC">
        <w:rPr>
          <w:lang w:val="es-ES"/>
        </w:rPr>
        <w:t>, como, por ejemplo, p</w:t>
      </w:r>
      <w:r>
        <w:rPr>
          <w:lang w:val="es-ES"/>
        </w:rPr>
        <w:t>or parte de las Oficinas de Patentes competentes incrementando las exigencias para conceder las patentes secundarias</w:t>
      </w:r>
      <w:r w:rsidR="00131ADC">
        <w:rPr>
          <w:lang w:val="es-ES"/>
        </w:rPr>
        <w:t xml:space="preserve"> de escaso valor inventivo</w:t>
      </w:r>
      <w:r>
        <w:rPr>
          <w:lang w:val="es-ES"/>
        </w:rPr>
        <w:t>, que suelen adolecer de los requisitos de novedad y actividad inventiva.</w:t>
      </w:r>
    </w:p>
    <w:p w14:paraId="4470EA6D" w14:textId="60B46865" w:rsidR="00BC6713" w:rsidRPr="007B20EC" w:rsidRDefault="00BC6713" w:rsidP="00B73735">
      <w:pPr>
        <w:ind w:left="0"/>
        <w:rPr>
          <w:lang w:val="es-ES"/>
        </w:rPr>
      </w:pPr>
      <w:r w:rsidRPr="007B20EC">
        <w:rPr>
          <w:lang w:val="es-ES"/>
        </w:rPr>
        <w:t xml:space="preserve"> </w:t>
      </w:r>
    </w:p>
    <w:p w14:paraId="12805883" w14:textId="57EE30C5" w:rsidR="007D7B97" w:rsidRPr="007B20EC" w:rsidRDefault="007D7B97" w:rsidP="00B73735">
      <w:pPr>
        <w:ind w:left="0"/>
        <w:rPr>
          <w:lang w:val="es-ES"/>
        </w:rPr>
      </w:pPr>
    </w:p>
    <w:p w14:paraId="431B779A" w14:textId="77777777" w:rsidR="00C83926" w:rsidRPr="007B20EC" w:rsidRDefault="00C83926" w:rsidP="00B73735">
      <w:pPr>
        <w:ind w:left="0"/>
        <w:rPr>
          <w:lang w:val="es-ES"/>
        </w:rPr>
      </w:pPr>
    </w:p>
    <w:p w14:paraId="1AF0868A" w14:textId="77777777" w:rsidR="00DA2B1B" w:rsidRPr="007B20EC" w:rsidRDefault="00DA2B1B" w:rsidP="00B73735">
      <w:pPr>
        <w:ind w:left="0"/>
        <w:rPr>
          <w:lang w:val="es-ES"/>
        </w:rPr>
      </w:pPr>
    </w:p>
    <w:p w14:paraId="34B85391" w14:textId="77777777" w:rsidR="00DA2B1B" w:rsidRPr="007B20EC" w:rsidRDefault="00DA2B1B" w:rsidP="00B73735">
      <w:pPr>
        <w:ind w:left="0"/>
        <w:rPr>
          <w:lang w:val="es-ES"/>
        </w:rPr>
      </w:pPr>
    </w:p>
    <w:p w14:paraId="35A9A164" w14:textId="3519C9B0" w:rsidR="00A83135" w:rsidRPr="00AC4499" w:rsidRDefault="00A83135" w:rsidP="00830E21">
      <w:pPr>
        <w:ind w:firstLine="284"/>
        <w:rPr>
          <w:rFonts w:cs="Arial"/>
          <w:lang w:val="es-ES"/>
        </w:rPr>
      </w:pPr>
    </w:p>
    <w:p w14:paraId="47A14D53" w14:textId="77777777" w:rsidR="003A04A9" w:rsidRDefault="003A04A9" w:rsidP="003A04A9">
      <w:pPr>
        <w:pStyle w:val="Tabladeilustraciones"/>
        <w:tabs>
          <w:tab w:val="right" w:leader="dot" w:pos="8495"/>
        </w:tabs>
        <w:rPr>
          <w:rFonts w:cs="Arial"/>
          <w:lang w:val="es-ES"/>
        </w:rPr>
      </w:pPr>
    </w:p>
    <w:p w14:paraId="5DDC7FD1" w14:textId="7D7975A2" w:rsidR="006412F5" w:rsidRPr="006412F5" w:rsidRDefault="006412F5" w:rsidP="003A04A9">
      <w:pPr>
        <w:pStyle w:val="Tabladeilustraciones"/>
        <w:tabs>
          <w:tab w:val="right" w:leader="dot" w:pos="8495"/>
        </w:tabs>
        <w:rPr>
          <w:rFonts w:ascii="Arial" w:hAnsi="Arial" w:cs="Arial"/>
          <w:b/>
          <w:sz w:val="24"/>
          <w:szCs w:val="24"/>
          <w:lang w:val="es-ES"/>
        </w:rPr>
      </w:pPr>
      <w:r w:rsidRPr="006412F5">
        <w:rPr>
          <w:rFonts w:ascii="Arial" w:hAnsi="Arial" w:cs="Arial"/>
          <w:b/>
          <w:sz w:val="24"/>
          <w:szCs w:val="24"/>
          <w:lang w:val="es-ES"/>
        </w:rPr>
        <w:t>Guía de Ilustraciones</w:t>
      </w:r>
    </w:p>
    <w:p w14:paraId="038CF87B" w14:textId="77777777" w:rsidR="006412F5" w:rsidRDefault="006412F5" w:rsidP="003A04A9">
      <w:pPr>
        <w:pStyle w:val="Tabladeilustraciones"/>
        <w:tabs>
          <w:tab w:val="right" w:leader="dot" w:pos="8495"/>
        </w:tabs>
        <w:rPr>
          <w:rFonts w:cs="Arial"/>
          <w:lang w:val="es-ES"/>
        </w:rPr>
      </w:pPr>
    </w:p>
    <w:p w14:paraId="55545E5E" w14:textId="77777777" w:rsidR="00A5627F" w:rsidRDefault="00A751CD">
      <w:pPr>
        <w:pStyle w:val="Tabladeilustraciones"/>
        <w:tabs>
          <w:tab w:val="right" w:leader="dot" w:pos="8495"/>
        </w:tabs>
        <w:rPr>
          <w:i w:val="0"/>
          <w:iCs w:val="0"/>
          <w:noProof/>
          <w:sz w:val="22"/>
          <w:szCs w:val="22"/>
          <w:lang w:val="es-ES" w:eastAsia="es-ES"/>
        </w:rPr>
      </w:pPr>
      <w:r>
        <w:rPr>
          <w:rFonts w:cs="Arial"/>
          <w:caps/>
          <w:lang w:val="es-ES"/>
        </w:rPr>
        <w:fldChar w:fldCharType="begin"/>
      </w:r>
      <w:r>
        <w:rPr>
          <w:rFonts w:cs="Arial"/>
          <w:caps/>
          <w:lang w:val="es-ES"/>
        </w:rPr>
        <w:instrText xml:space="preserve"> TOC \h \z \c "Ilustración" </w:instrText>
      </w:r>
      <w:r>
        <w:rPr>
          <w:rFonts w:cs="Arial"/>
          <w:caps/>
          <w:lang w:val="es-ES"/>
        </w:rPr>
        <w:fldChar w:fldCharType="separate"/>
      </w:r>
      <w:hyperlink r:id="rId37" w:anchor="_Toc400525276" w:history="1">
        <w:r w:rsidR="00A5627F" w:rsidRPr="00B779E7">
          <w:rPr>
            <w:rStyle w:val="Hipervnculo"/>
            <w:noProof/>
            <w:lang w:val="es-ES"/>
          </w:rPr>
          <w:t>Ilustración 1 - Países signatarios del Convenio Europeo de Patentes de 1973.</w:t>
        </w:r>
        <w:r w:rsidR="00A5627F">
          <w:rPr>
            <w:noProof/>
            <w:webHidden/>
          </w:rPr>
          <w:tab/>
        </w:r>
        <w:r w:rsidR="00A5627F">
          <w:rPr>
            <w:noProof/>
            <w:webHidden/>
          </w:rPr>
          <w:fldChar w:fldCharType="begin"/>
        </w:r>
        <w:r w:rsidR="00A5627F">
          <w:rPr>
            <w:noProof/>
            <w:webHidden/>
          </w:rPr>
          <w:instrText xml:space="preserve"> PAGEREF _Toc400525276 \h </w:instrText>
        </w:r>
        <w:r w:rsidR="00A5627F">
          <w:rPr>
            <w:noProof/>
            <w:webHidden/>
          </w:rPr>
        </w:r>
        <w:r w:rsidR="00A5627F">
          <w:rPr>
            <w:noProof/>
            <w:webHidden/>
          </w:rPr>
          <w:fldChar w:fldCharType="separate"/>
        </w:r>
        <w:r w:rsidR="0099684C">
          <w:rPr>
            <w:noProof/>
            <w:webHidden/>
          </w:rPr>
          <w:t>5</w:t>
        </w:r>
        <w:r w:rsidR="00A5627F">
          <w:rPr>
            <w:noProof/>
            <w:webHidden/>
          </w:rPr>
          <w:fldChar w:fldCharType="end"/>
        </w:r>
      </w:hyperlink>
    </w:p>
    <w:p w14:paraId="20B51743" w14:textId="77777777" w:rsidR="00A5627F" w:rsidRDefault="00A5627F">
      <w:pPr>
        <w:pStyle w:val="Tabladeilustraciones"/>
        <w:tabs>
          <w:tab w:val="right" w:leader="dot" w:pos="8495"/>
        </w:tabs>
        <w:rPr>
          <w:i w:val="0"/>
          <w:iCs w:val="0"/>
          <w:noProof/>
          <w:sz w:val="22"/>
          <w:szCs w:val="22"/>
          <w:lang w:val="es-ES" w:eastAsia="es-ES"/>
        </w:rPr>
      </w:pPr>
      <w:hyperlink r:id="rId38" w:anchor="_Toc400525277" w:history="1">
        <w:r w:rsidRPr="00B779E7">
          <w:rPr>
            <w:rStyle w:val="Hipervnculo"/>
            <w:noProof/>
            <w:lang w:val="es-ES"/>
          </w:rPr>
          <w:t>Ilustración 2 – Porcentaje de patentes concedidas por la EPO en 2013 según el país de residencia del patentado.</w:t>
        </w:r>
        <w:r>
          <w:rPr>
            <w:noProof/>
            <w:webHidden/>
          </w:rPr>
          <w:tab/>
        </w:r>
        <w:r>
          <w:rPr>
            <w:noProof/>
            <w:webHidden/>
          </w:rPr>
          <w:fldChar w:fldCharType="begin"/>
        </w:r>
        <w:r>
          <w:rPr>
            <w:noProof/>
            <w:webHidden/>
          </w:rPr>
          <w:instrText xml:space="preserve"> PAGEREF _Toc400525277 \h </w:instrText>
        </w:r>
        <w:r>
          <w:rPr>
            <w:noProof/>
            <w:webHidden/>
          </w:rPr>
        </w:r>
        <w:r>
          <w:rPr>
            <w:noProof/>
            <w:webHidden/>
          </w:rPr>
          <w:fldChar w:fldCharType="separate"/>
        </w:r>
        <w:r w:rsidR="0099684C">
          <w:rPr>
            <w:noProof/>
            <w:webHidden/>
          </w:rPr>
          <w:t>6</w:t>
        </w:r>
        <w:r>
          <w:rPr>
            <w:noProof/>
            <w:webHidden/>
          </w:rPr>
          <w:fldChar w:fldCharType="end"/>
        </w:r>
      </w:hyperlink>
    </w:p>
    <w:p w14:paraId="5E4A3A62" w14:textId="77777777" w:rsidR="00A5627F" w:rsidRDefault="00A5627F">
      <w:pPr>
        <w:pStyle w:val="Tabladeilustraciones"/>
        <w:tabs>
          <w:tab w:val="right" w:leader="dot" w:pos="8495"/>
        </w:tabs>
        <w:rPr>
          <w:i w:val="0"/>
          <w:iCs w:val="0"/>
          <w:noProof/>
          <w:sz w:val="22"/>
          <w:szCs w:val="22"/>
          <w:lang w:val="es-ES" w:eastAsia="es-ES"/>
        </w:rPr>
      </w:pPr>
      <w:hyperlink r:id="rId39" w:anchor="_Toc400525278" w:history="1">
        <w:r w:rsidRPr="00B779E7">
          <w:rPr>
            <w:rStyle w:val="Hipervnculo"/>
            <w:noProof/>
            <w:lang w:val="es-ES"/>
          </w:rPr>
          <w:t>Ilustración 3 - Estatus de los países del Convenio Europeo de Patentes en la regulación de la patente unitaria.</w:t>
        </w:r>
        <w:r>
          <w:rPr>
            <w:noProof/>
            <w:webHidden/>
          </w:rPr>
          <w:tab/>
        </w:r>
        <w:r>
          <w:rPr>
            <w:noProof/>
            <w:webHidden/>
          </w:rPr>
          <w:fldChar w:fldCharType="begin"/>
        </w:r>
        <w:r>
          <w:rPr>
            <w:noProof/>
            <w:webHidden/>
          </w:rPr>
          <w:instrText xml:space="preserve"> PAGEREF _Toc400525278 \h </w:instrText>
        </w:r>
        <w:r>
          <w:rPr>
            <w:noProof/>
            <w:webHidden/>
          </w:rPr>
        </w:r>
        <w:r>
          <w:rPr>
            <w:noProof/>
            <w:webHidden/>
          </w:rPr>
          <w:fldChar w:fldCharType="separate"/>
        </w:r>
        <w:r w:rsidR="0099684C">
          <w:rPr>
            <w:noProof/>
            <w:webHidden/>
          </w:rPr>
          <w:t>7</w:t>
        </w:r>
        <w:r>
          <w:rPr>
            <w:noProof/>
            <w:webHidden/>
          </w:rPr>
          <w:fldChar w:fldCharType="end"/>
        </w:r>
      </w:hyperlink>
    </w:p>
    <w:p w14:paraId="60AEA1A8" w14:textId="77777777" w:rsidR="00A5627F" w:rsidRDefault="00A5627F">
      <w:pPr>
        <w:pStyle w:val="Tabladeilustraciones"/>
        <w:tabs>
          <w:tab w:val="right" w:leader="dot" w:pos="8495"/>
        </w:tabs>
        <w:rPr>
          <w:i w:val="0"/>
          <w:iCs w:val="0"/>
          <w:noProof/>
          <w:sz w:val="22"/>
          <w:szCs w:val="22"/>
          <w:lang w:val="es-ES" w:eastAsia="es-ES"/>
        </w:rPr>
      </w:pPr>
      <w:hyperlink r:id="rId40" w:anchor="_Toc400525279" w:history="1">
        <w:r w:rsidRPr="00B779E7">
          <w:rPr>
            <w:rStyle w:val="Hipervnculo"/>
            <w:noProof/>
            <w:lang w:val="es-ES"/>
          </w:rPr>
          <w:t>Ilustración 4 - Estado de los países europeos respecto al Acuerdo de la Corte Unificada de Patentes.</w:t>
        </w:r>
        <w:r>
          <w:rPr>
            <w:noProof/>
            <w:webHidden/>
          </w:rPr>
          <w:tab/>
        </w:r>
        <w:r>
          <w:rPr>
            <w:noProof/>
            <w:webHidden/>
          </w:rPr>
          <w:fldChar w:fldCharType="begin"/>
        </w:r>
        <w:r>
          <w:rPr>
            <w:noProof/>
            <w:webHidden/>
          </w:rPr>
          <w:instrText xml:space="preserve"> PAGEREF _Toc400525279 \h </w:instrText>
        </w:r>
        <w:r>
          <w:rPr>
            <w:noProof/>
            <w:webHidden/>
          </w:rPr>
        </w:r>
        <w:r>
          <w:rPr>
            <w:noProof/>
            <w:webHidden/>
          </w:rPr>
          <w:fldChar w:fldCharType="separate"/>
        </w:r>
        <w:r w:rsidR="0099684C">
          <w:rPr>
            <w:noProof/>
            <w:webHidden/>
          </w:rPr>
          <w:t>8</w:t>
        </w:r>
        <w:r>
          <w:rPr>
            <w:noProof/>
            <w:webHidden/>
          </w:rPr>
          <w:fldChar w:fldCharType="end"/>
        </w:r>
      </w:hyperlink>
    </w:p>
    <w:p w14:paraId="267CA4FE" w14:textId="77777777" w:rsidR="00A5627F" w:rsidRDefault="00A5627F">
      <w:pPr>
        <w:pStyle w:val="Tabladeilustraciones"/>
        <w:tabs>
          <w:tab w:val="right" w:leader="dot" w:pos="8495"/>
        </w:tabs>
        <w:rPr>
          <w:i w:val="0"/>
          <w:iCs w:val="0"/>
          <w:noProof/>
          <w:sz w:val="22"/>
          <w:szCs w:val="22"/>
          <w:lang w:val="es-ES" w:eastAsia="es-ES"/>
        </w:rPr>
      </w:pPr>
      <w:hyperlink r:id="rId41" w:anchor="_Toc400525280" w:history="1">
        <w:r w:rsidRPr="00B779E7">
          <w:rPr>
            <w:rStyle w:val="Hipervnculo"/>
            <w:noProof/>
            <w:lang w:val="es-ES"/>
          </w:rPr>
          <w:t>Ilustración 5 - Localizaciones de la Corte Unificada de Patentes.</w:t>
        </w:r>
        <w:r>
          <w:rPr>
            <w:noProof/>
            <w:webHidden/>
          </w:rPr>
          <w:tab/>
        </w:r>
        <w:r>
          <w:rPr>
            <w:noProof/>
            <w:webHidden/>
          </w:rPr>
          <w:fldChar w:fldCharType="begin"/>
        </w:r>
        <w:r>
          <w:rPr>
            <w:noProof/>
            <w:webHidden/>
          </w:rPr>
          <w:instrText xml:space="preserve"> PAGEREF _Toc400525280 \h </w:instrText>
        </w:r>
        <w:r>
          <w:rPr>
            <w:noProof/>
            <w:webHidden/>
          </w:rPr>
        </w:r>
        <w:r>
          <w:rPr>
            <w:noProof/>
            <w:webHidden/>
          </w:rPr>
          <w:fldChar w:fldCharType="separate"/>
        </w:r>
        <w:r w:rsidR="0099684C">
          <w:rPr>
            <w:noProof/>
            <w:webHidden/>
          </w:rPr>
          <w:t>10</w:t>
        </w:r>
        <w:r>
          <w:rPr>
            <w:noProof/>
            <w:webHidden/>
          </w:rPr>
          <w:fldChar w:fldCharType="end"/>
        </w:r>
      </w:hyperlink>
    </w:p>
    <w:p w14:paraId="16D25A86" w14:textId="77777777" w:rsidR="00A5627F" w:rsidRDefault="00A5627F">
      <w:pPr>
        <w:pStyle w:val="Tabladeilustraciones"/>
        <w:tabs>
          <w:tab w:val="right" w:leader="dot" w:pos="8495"/>
        </w:tabs>
        <w:rPr>
          <w:i w:val="0"/>
          <w:iCs w:val="0"/>
          <w:noProof/>
          <w:sz w:val="22"/>
          <w:szCs w:val="22"/>
          <w:lang w:val="es-ES" w:eastAsia="es-ES"/>
        </w:rPr>
      </w:pPr>
      <w:hyperlink r:id="rId42" w:anchor="_Toc400525281" w:history="1">
        <w:r w:rsidRPr="00B779E7">
          <w:rPr>
            <w:rStyle w:val="Hipervnculo"/>
            <w:noProof/>
            <w:lang w:val="es-ES"/>
          </w:rPr>
          <w:t>Ilustración 6 - Proceso de descubrimiento, investigación, ensayo y aprobación de un medicamento.</w:t>
        </w:r>
        <w:r>
          <w:rPr>
            <w:noProof/>
            <w:webHidden/>
          </w:rPr>
          <w:tab/>
        </w:r>
        <w:r>
          <w:rPr>
            <w:noProof/>
            <w:webHidden/>
          </w:rPr>
          <w:fldChar w:fldCharType="begin"/>
        </w:r>
        <w:r>
          <w:rPr>
            <w:noProof/>
            <w:webHidden/>
          </w:rPr>
          <w:instrText xml:space="preserve"> PAGEREF _Toc400525281 \h </w:instrText>
        </w:r>
        <w:r>
          <w:rPr>
            <w:noProof/>
            <w:webHidden/>
          </w:rPr>
        </w:r>
        <w:r>
          <w:rPr>
            <w:noProof/>
            <w:webHidden/>
          </w:rPr>
          <w:fldChar w:fldCharType="separate"/>
        </w:r>
        <w:r w:rsidR="0099684C">
          <w:rPr>
            <w:noProof/>
            <w:webHidden/>
          </w:rPr>
          <w:t>11</w:t>
        </w:r>
        <w:r>
          <w:rPr>
            <w:noProof/>
            <w:webHidden/>
          </w:rPr>
          <w:fldChar w:fldCharType="end"/>
        </w:r>
      </w:hyperlink>
    </w:p>
    <w:p w14:paraId="1EE78DA4" w14:textId="77777777" w:rsidR="00A5627F" w:rsidRDefault="00A5627F">
      <w:pPr>
        <w:pStyle w:val="Tabladeilustraciones"/>
        <w:tabs>
          <w:tab w:val="right" w:leader="dot" w:pos="8495"/>
        </w:tabs>
        <w:rPr>
          <w:i w:val="0"/>
          <w:iCs w:val="0"/>
          <w:noProof/>
          <w:sz w:val="22"/>
          <w:szCs w:val="22"/>
          <w:lang w:val="es-ES" w:eastAsia="es-ES"/>
        </w:rPr>
      </w:pPr>
      <w:hyperlink w:anchor="_Toc400525282" w:history="1">
        <w:r w:rsidRPr="00B779E7">
          <w:rPr>
            <w:rStyle w:val="Hipervnculo"/>
            <w:noProof/>
            <w:lang w:val="es-ES"/>
          </w:rPr>
          <w:t>Ilustración 7 - Gasto medio de las principales compañías farmacéuticas en I+D por cada fármaco que sale al mercado.</w:t>
        </w:r>
        <w:r>
          <w:rPr>
            <w:noProof/>
            <w:webHidden/>
          </w:rPr>
          <w:tab/>
        </w:r>
        <w:r>
          <w:rPr>
            <w:noProof/>
            <w:webHidden/>
          </w:rPr>
          <w:fldChar w:fldCharType="begin"/>
        </w:r>
        <w:r>
          <w:rPr>
            <w:noProof/>
            <w:webHidden/>
          </w:rPr>
          <w:instrText xml:space="preserve"> PAGEREF _Toc400525282 \h </w:instrText>
        </w:r>
        <w:r>
          <w:rPr>
            <w:noProof/>
            <w:webHidden/>
          </w:rPr>
        </w:r>
        <w:r>
          <w:rPr>
            <w:noProof/>
            <w:webHidden/>
          </w:rPr>
          <w:fldChar w:fldCharType="separate"/>
        </w:r>
        <w:r w:rsidR="0099684C">
          <w:rPr>
            <w:noProof/>
            <w:webHidden/>
          </w:rPr>
          <w:t>12</w:t>
        </w:r>
        <w:r>
          <w:rPr>
            <w:noProof/>
            <w:webHidden/>
          </w:rPr>
          <w:fldChar w:fldCharType="end"/>
        </w:r>
      </w:hyperlink>
    </w:p>
    <w:p w14:paraId="34318094" w14:textId="77777777" w:rsidR="00A5627F" w:rsidRDefault="00A5627F">
      <w:pPr>
        <w:pStyle w:val="Tabladeilustraciones"/>
        <w:tabs>
          <w:tab w:val="right" w:leader="dot" w:pos="8495"/>
        </w:tabs>
        <w:rPr>
          <w:i w:val="0"/>
          <w:iCs w:val="0"/>
          <w:noProof/>
          <w:sz w:val="22"/>
          <w:szCs w:val="22"/>
          <w:lang w:val="es-ES" w:eastAsia="es-ES"/>
        </w:rPr>
      </w:pPr>
      <w:hyperlink r:id="rId43" w:anchor="_Toc400525283" w:history="1">
        <w:r w:rsidRPr="00B779E7">
          <w:rPr>
            <w:rStyle w:val="Hipervnculo"/>
            <w:noProof/>
            <w:lang w:val="es-ES"/>
          </w:rPr>
          <w:t>Ilustración 8 - Ejemplos de moléculas de medicamentos químicos.</w:t>
        </w:r>
        <w:r>
          <w:rPr>
            <w:noProof/>
            <w:webHidden/>
          </w:rPr>
          <w:tab/>
        </w:r>
        <w:r>
          <w:rPr>
            <w:noProof/>
            <w:webHidden/>
          </w:rPr>
          <w:fldChar w:fldCharType="begin"/>
        </w:r>
        <w:r>
          <w:rPr>
            <w:noProof/>
            <w:webHidden/>
          </w:rPr>
          <w:instrText xml:space="preserve"> PAGEREF _Toc400525283 \h </w:instrText>
        </w:r>
        <w:r>
          <w:rPr>
            <w:noProof/>
            <w:webHidden/>
          </w:rPr>
        </w:r>
        <w:r>
          <w:rPr>
            <w:noProof/>
            <w:webHidden/>
          </w:rPr>
          <w:fldChar w:fldCharType="separate"/>
        </w:r>
        <w:r w:rsidR="0099684C">
          <w:rPr>
            <w:noProof/>
            <w:webHidden/>
          </w:rPr>
          <w:t>17</w:t>
        </w:r>
        <w:r>
          <w:rPr>
            <w:noProof/>
            <w:webHidden/>
          </w:rPr>
          <w:fldChar w:fldCharType="end"/>
        </w:r>
      </w:hyperlink>
    </w:p>
    <w:p w14:paraId="6A1E89DA" w14:textId="77777777" w:rsidR="00A5627F" w:rsidRDefault="00A5627F">
      <w:pPr>
        <w:pStyle w:val="Tabladeilustraciones"/>
        <w:tabs>
          <w:tab w:val="right" w:leader="dot" w:pos="8495"/>
        </w:tabs>
        <w:rPr>
          <w:i w:val="0"/>
          <w:iCs w:val="0"/>
          <w:noProof/>
          <w:sz w:val="22"/>
          <w:szCs w:val="22"/>
          <w:lang w:val="es-ES" w:eastAsia="es-ES"/>
        </w:rPr>
      </w:pPr>
      <w:hyperlink r:id="rId44" w:anchor="_Toc400525284" w:history="1">
        <w:r w:rsidRPr="00B779E7">
          <w:rPr>
            <w:rStyle w:val="Hipervnculo"/>
            <w:noProof/>
            <w:lang w:val="es-ES"/>
          </w:rPr>
          <w:t>Ilustración 9 - Estructura Molecular del Trastuzumab</w:t>
        </w:r>
        <w:r>
          <w:rPr>
            <w:noProof/>
            <w:webHidden/>
          </w:rPr>
          <w:tab/>
        </w:r>
        <w:r>
          <w:rPr>
            <w:noProof/>
            <w:webHidden/>
          </w:rPr>
          <w:fldChar w:fldCharType="begin"/>
        </w:r>
        <w:r>
          <w:rPr>
            <w:noProof/>
            <w:webHidden/>
          </w:rPr>
          <w:instrText xml:space="preserve"> PAGEREF _Toc400525284 \h </w:instrText>
        </w:r>
        <w:r>
          <w:rPr>
            <w:noProof/>
            <w:webHidden/>
          </w:rPr>
        </w:r>
        <w:r>
          <w:rPr>
            <w:noProof/>
            <w:webHidden/>
          </w:rPr>
          <w:fldChar w:fldCharType="separate"/>
        </w:r>
        <w:r w:rsidR="0099684C">
          <w:rPr>
            <w:noProof/>
            <w:webHidden/>
          </w:rPr>
          <w:t>18</w:t>
        </w:r>
        <w:r>
          <w:rPr>
            <w:noProof/>
            <w:webHidden/>
          </w:rPr>
          <w:fldChar w:fldCharType="end"/>
        </w:r>
      </w:hyperlink>
    </w:p>
    <w:p w14:paraId="309B531A" w14:textId="77777777" w:rsidR="00A5627F" w:rsidRDefault="00A5627F">
      <w:pPr>
        <w:pStyle w:val="Tabladeilustraciones"/>
        <w:tabs>
          <w:tab w:val="right" w:leader="dot" w:pos="8495"/>
        </w:tabs>
        <w:rPr>
          <w:i w:val="0"/>
          <w:iCs w:val="0"/>
          <w:noProof/>
          <w:sz w:val="22"/>
          <w:szCs w:val="22"/>
          <w:lang w:val="es-ES" w:eastAsia="es-ES"/>
        </w:rPr>
      </w:pPr>
      <w:hyperlink w:anchor="_Toc400525285" w:history="1">
        <w:r w:rsidRPr="00B779E7">
          <w:rPr>
            <w:rStyle w:val="Hipervnculo"/>
            <w:noProof/>
            <w:lang w:val="es-ES"/>
          </w:rPr>
          <w:t>Ilustración 10 - Cronograma del desarrollo de un medicamento biosimilar.</w:t>
        </w:r>
        <w:r>
          <w:rPr>
            <w:noProof/>
            <w:webHidden/>
          </w:rPr>
          <w:tab/>
        </w:r>
        <w:r>
          <w:rPr>
            <w:noProof/>
            <w:webHidden/>
          </w:rPr>
          <w:fldChar w:fldCharType="begin"/>
        </w:r>
        <w:r>
          <w:rPr>
            <w:noProof/>
            <w:webHidden/>
          </w:rPr>
          <w:instrText xml:space="preserve"> PAGEREF _Toc400525285 \h </w:instrText>
        </w:r>
        <w:r>
          <w:rPr>
            <w:noProof/>
            <w:webHidden/>
          </w:rPr>
        </w:r>
        <w:r>
          <w:rPr>
            <w:noProof/>
            <w:webHidden/>
          </w:rPr>
          <w:fldChar w:fldCharType="separate"/>
        </w:r>
        <w:r w:rsidR="0099684C">
          <w:rPr>
            <w:noProof/>
            <w:webHidden/>
          </w:rPr>
          <w:t>22</w:t>
        </w:r>
        <w:r>
          <w:rPr>
            <w:noProof/>
            <w:webHidden/>
          </w:rPr>
          <w:fldChar w:fldCharType="end"/>
        </w:r>
      </w:hyperlink>
    </w:p>
    <w:p w14:paraId="51CFDD4B" w14:textId="77777777" w:rsidR="00A5627F" w:rsidRDefault="00A5627F">
      <w:pPr>
        <w:pStyle w:val="Tabladeilustraciones"/>
        <w:tabs>
          <w:tab w:val="right" w:leader="dot" w:pos="8495"/>
        </w:tabs>
        <w:rPr>
          <w:i w:val="0"/>
          <w:iCs w:val="0"/>
          <w:noProof/>
          <w:sz w:val="22"/>
          <w:szCs w:val="22"/>
          <w:lang w:val="es-ES" w:eastAsia="es-ES"/>
        </w:rPr>
      </w:pPr>
      <w:hyperlink r:id="rId45" w:anchor="_Toc400525286" w:history="1">
        <w:r w:rsidRPr="00B779E7">
          <w:rPr>
            <w:rStyle w:val="Hipervnculo"/>
            <w:noProof/>
            <w:lang w:val="es-ES"/>
          </w:rPr>
          <w:t>Ilustración 11 - Comparativa de complejidad entre los distintos tipos de fármacos.</w:t>
        </w:r>
        <w:r>
          <w:rPr>
            <w:noProof/>
            <w:webHidden/>
          </w:rPr>
          <w:tab/>
        </w:r>
        <w:r>
          <w:rPr>
            <w:noProof/>
            <w:webHidden/>
          </w:rPr>
          <w:fldChar w:fldCharType="begin"/>
        </w:r>
        <w:r>
          <w:rPr>
            <w:noProof/>
            <w:webHidden/>
          </w:rPr>
          <w:instrText xml:space="preserve"> PAGEREF _Toc400525286 \h </w:instrText>
        </w:r>
        <w:r>
          <w:rPr>
            <w:noProof/>
            <w:webHidden/>
          </w:rPr>
        </w:r>
        <w:r>
          <w:rPr>
            <w:noProof/>
            <w:webHidden/>
          </w:rPr>
          <w:fldChar w:fldCharType="separate"/>
        </w:r>
        <w:r w:rsidR="0099684C">
          <w:rPr>
            <w:noProof/>
            <w:webHidden/>
          </w:rPr>
          <w:t>22</w:t>
        </w:r>
        <w:r>
          <w:rPr>
            <w:noProof/>
            <w:webHidden/>
          </w:rPr>
          <w:fldChar w:fldCharType="end"/>
        </w:r>
      </w:hyperlink>
    </w:p>
    <w:p w14:paraId="2E695FB6" w14:textId="77777777" w:rsidR="00A5627F" w:rsidRDefault="00A5627F">
      <w:pPr>
        <w:pStyle w:val="Tabladeilustraciones"/>
        <w:tabs>
          <w:tab w:val="right" w:leader="dot" w:pos="8495"/>
        </w:tabs>
        <w:rPr>
          <w:i w:val="0"/>
          <w:iCs w:val="0"/>
          <w:noProof/>
          <w:sz w:val="22"/>
          <w:szCs w:val="22"/>
          <w:lang w:val="es-ES" w:eastAsia="es-ES"/>
        </w:rPr>
      </w:pPr>
      <w:hyperlink w:anchor="_Toc400525287" w:history="1">
        <w:r w:rsidRPr="00B779E7">
          <w:rPr>
            <w:rStyle w:val="Hipervnculo"/>
            <w:noProof/>
            <w:lang w:val="es-ES"/>
          </w:rPr>
          <w:t>Ilustración 12 - Infografía sobre el patent cliff en EEUU</w:t>
        </w:r>
        <w:r>
          <w:rPr>
            <w:noProof/>
            <w:webHidden/>
          </w:rPr>
          <w:tab/>
        </w:r>
        <w:r>
          <w:rPr>
            <w:noProof/>
            <w:webHidden/>
          </w:rPr>
          <w:fldChar w:fldCharType="begin"/>
        </w:r>
        <w:r>
          <w:rPr>
            <w:noProof/>
            <w:webHidden/>
          </w:rPr>
          <w:instrText xml:space="preserve"> PAGEREF _Toc400525287 \h </w:instrText>
        </w:r>
        <w:r>
          <w:rPr>
            <w:noProof/>
            <w:webHidden/>
          </w:rPr>
        </w:r>
        <w:r>
          <w:rPr>
            <w:noProof/>
            <w:webHidden/>
          </w:rPr>
          <w:fldChar w:fldCharType="separate"/>
        </w:r>
        <w:r w:rsidR="0099684C">
          <w:rPr>
            <w:noProof/>
            <w:webHidden/>
          </w:rPr>
          <w:t>23</w:t>
        </w:r>
        <w:r>
          <w:rPr>
            <w:noProof/>
            <w:webHidden/>
          </w:rPr>
          <w:fldChar w:fldCharType="end"/>
        </w:r>
      </w:hyperlink>
    </w:p>
    <w:p w14:paraId="1B899E50" w14:textId="77777777" w:rsidR="00A5627F" w:rsidRDefault="00A5627F">
      <w:pPr>
        <w:pStyle w:val="Tabladeilustraciones"/>
        <w:tabs>
          <w:tab w:val="right" w:leader="dot" w:pos="8495"/>
        </w:tabs>
        <w:rPr>
          <w:i w:val="0"/>
          <w:iCs w:val="0"/>
          <w:noProof/>
          <w:sz w:val="22"/>
          <w:szCs w:val="22"/>
          <w:lang w:val="es-ES" w:eastAsia="es-ES"/>
        </w:rPr>
      </w:pPr>
      <w:hyperlink r:id="rId46" w:anchor="_Toc400525288" w:history="1">
        <w:r w:rsidRPr="00B779E7">
          <w:rPr>
            <w:rStyle w:val="Hipervnculo"/>
            <w:noProof/>
            <w:lang w:val="es-ES"/>
          </w:rPr>
          <w:t>Ilustración 13 - Comparativa de diferentes tipos de fármacos que han perdido o perderán sus patentes en los próximos años en EEUU y Europa.</w:t>
        </w:r>
        <w:r>
          <w:rPr>
            <w:noProof/>
            <w:webHidden/>
          </w:rPr>
          <w:tab/>
        </w:r>
        <w:r>
          <w:rPr>
            <w:noProof/>
            <w:webHidden/>
          </w:rPr>
          <w:fldChar w:fldCharType="begin"/>
        </w:r>
        <w:r>
          <w:rPr>
            <w:noProof/>
            <w:webHidden/>
          </w:rPr>
          <w:instrText xml:space="preserve"> PAGEREF _Toc400525288 \h </w:instrText>
        </w:r>
        <w:r>
          <w:rPr>
            <w:noProof/>
            <w:webHidden/>
          </w:rPr>
        </w:r>
        <w:r>
          <w:rPr>
            <w:noProof/>
            <w:webHidden/>
          </w:rPr>
          <w:fldChar w:fldCharType="separate"/>
        </w:r>
        <w:r w:rsidR="0099684C">
          <w:rPr>
            <w:noProof/>
            <w:webHidden/>
          </w:rPr>
          <w:t>23</w:t>
        </w:r>
        <w:r>
          <w:rPr>
            <w:noProof/>
            <w:webHidden/>
          </w:rPr>
          <w:fldChar w:fldCharType="end"/>
        </w:r>
      </w:hyperlink>
    </w:p>
    <w:p w14:paraId="098B2AB3" w14:textId="77777777" w:rsidR="00A5627F" w:rsidRDefault="00A5627F">
      <w:pPr>
        <w:pStyle w:val="Tabladeilustraciones"/>
        <w:tabs>
          <w:tab w:val="right" w:leader="dot" w:pos="8495"/>
        </w:tabs>
        <w:rPr>
          <w:i w:val="0"/>
          <w:iCs w:val="0"/>
          <w:noProof/>
          <w:sz w:val="22"/>
          <w:szCs w:val="22"/>
          <w:lang w:val="es-ES" w:eastAsia="es-ES"/>
        </w:rPr>
      </w:pPr>
      <w:hyperlink w:anchor="_Toc400525289" w:history="1">
        <w:r w:rsidRPr="00B779E7">
          <w:rPr>
            <w:rStyle w:val="Hipervnculo"/>
            <w:noProof/>
            <w:lang w:val="es-ES"/>
          </w:rPr>
          <w:t>Ilustración 15 – Previsión de la evolución de los beneficios de las grandes compañías farmacéuticas hasta 2020.</w:t>
        </w:r>
        <w:r>
          <w:rPr>
            <w:noProof/>
            <w:webHidden/>
          </w:rPr>
          <w:tab/>
        </w:r>
        <w:r>
          <w:rPr>
            <w:noProof/>
            <w:webHidden/>
          </w:rPr>
          <w:fldChar w:fldCharType="begin"/>
        </w:r>
        <w:r>
          <w:rPr>
            <w:noProof/>
            <w:webHidden/>
          </w:rPr>
          <w:instrText xml:space="preserve"> PAGEREF _Toc400525289 \h </w:instrText>
        </w:r>
        <w:r>
          <w:rPr>
            <w:noProof/>
            <w:webHidden/>
          </w:rPr>
        </w:r>
        <w:r>
          <w:rPr>
            <w:noProof/>
            <w:webHidden/>
          </w:rPr>
          <w:fldChar w:fldCharType="separate"/>
        </w:r>
        <w:r w:rsidR="0099684C">
          <w:rPr>
            <w:noProof/>
            <w:webHidden/>
          </w:rPr>
          <w:t>24</w:t>
        </w:r>
        <w:r>
          <w:rPr>
            <w:noProof/>
            <w:webHidden/>
          </w:rPr>
          <w:fldChar w:fldCharType="end"/>
        </w:r>
      </w:hyperlink>
    </w:p>
    <w:p w14:paraId="3AF1BB04" w14:textId="77777777" w:rsidR="00A5627F" w:rsidRDefault="00A5627F">
      <w:pPr>
        <w:pStyle w:val="Tabladeilustraciones"/>
        <w:tabs>
          <w:tab w:val="right" w:leader="dot" w:pos="8495"/>
        </w:tabs>
        <w:rPr>
          <w:i w:val="0"/>
          <w:iCs w:val="0"/>
          <w:noProof/>
          <w:sz w:val="22"/>
          <w:szCs w:val="22"/>
          <w:lang w:val="es-ES" w:eastAsia="es-ES"/>
        </w:rPr>
      </w:pPr>
      <w:hyperlink r:id="rId47" w:anchor="_Toc400525290" w:history="1">
        <w:r w:rsidRPr="00B779E7">
          <w:rPr>
            <w:rStyle w:val="Hipervnculo"/>
            <w:noProof/>
            <w:lang w:val="es-ES"/>
          </w:rPr>
          <w:t>Ilustración 14 - Comparativa entre los derechos de IP entre medicamentos químicos y biológicos.</w:t>
        </w:r>
        <w:r>
          <w:rPr>
            <w:noProof/>
            <w:webHidden/>
          </w:rPr>
          <w:tab/>
        </w:r>
        <w:r>
          <w:rPr>
            <w:noProof/>
            <w:webHidden/>
          </w:rPr>
          <w:fldChar w:fldCharType="begin"/>
        </w:r>
        <w:r>
          <w:rPr>
            <w:noProof/>
            <w:webHidden/>
          </w:rPr>
          <w:instrText xml:space="preserve"> PAGEREF _Toc400525290 \h </w:instrText>
        </w:r>
        <w:r>
          <w:rPr>
            <w:noProof/>
            <w:webHidden/>
          </w:rPr>
        </w:r>
        <w:r>
          <w:rPr>
            <w:noProof/>
            <w:webHidden/>
          </w:rPr>
          <w:fldChar w:fldCharType="separate"/>
        </w:r>
        <w:r w:rsidR="0099684C">
          <w:rPr>
            <w:noProof/>
            <w:webHidden/>
          </w:rPr>
          <w:t>24</w:t>
        </w:r>
        <w:r>
          <w:rPr>
            <w:noProof/>
            <w:webHidden/>
          </w:rPr>
          <w:fldChar w:fldCharType="end"/>
        </w:r>
      </w:hyperlink>
    </w:p>
    <w:p w14:paraId="66A065D0" w14:textId="77777777" w:rsidR="00A5627F" w:rsidRDefault="00A5627F">
      <w:pPr>
        <w:pStyle w:val="Tabladeilustraciones"/>
        <w:tabs>
          <w:tab w:val="right" w:leader="dot" w:pos="8495"/>
        </w:tabs>
        <w:rPr>
          <w:i w:val="0"/>
          <w:iCs w:val="0"/>
          <w:noProof/>
          <w:sz w:val="22"/>
          <w:szCs w:val="22"/>
          <w:lang w:val="es-ES" w:eastAsia="es-ES"/>
        </w:rPr>
      </w:pPr>
      <w:hyperlink r:id="rId48" w:anchor="_Toc400525291" w:history="1">
        <w:r w:rsidRPr="00B779E7">
          <w:rPr>
            <w:rStyle w:val="Hipervnculo"/>
            <w:noProof/>
            <w:lang w:val="es-ES"/>
          </w:rPr>
          <w:t>Ilustración 16 – algunas de las patentes más importantes a expirar en EEUU.</w:t>
        </w:r>
        <w:r>
          <w:rPr>
            <w:noProof/>
            <w:webHidden/>
          </w:rPr>
          <w:tab/>
        </w:r>
        <w:r>
          <w:rPr>
            <w:noProof/>
            <w:webHidden/>
          </w:rPr>
          <w:fldChar w:fldCharType="begin"/>
        </w:r>
        <w:r>
          <w:rPr>
            <w:noProof/>
            <w:webHidden/>
          </w:rPr>
          <w:instrText xml:space="preserve"> PAGEREF _Toc400525291 \h </w:instrText>
        </w:r>
        <w:r>
          <w:rPr>
            <w:noProof/>
            <w:webHidden/>
          </w:rPr>
        </w:r>
        <w:r>
          <w:rPr>
            <w:noProof/>
            <w:webHidden/>
          </w:rPr>
          <w:fldChar w:fldCharType="separate"/>
        </w:r>
        <w:r w:rsidR="0099684C">
          <w:rPr>
            <w:noProof/>
            <w:webHidden/>
          </w:rPr>
          <w:t>24</w:t>
        </w:r>
        <w:r>
          <w:rPr>
            <w:noProof/>
            <w:webHidden/>
          </w:rPr>
          <w:fldChar w:fldCharType="end"/>
        </w:r>
      </w:hyperlink>
    </w:p>
    <w:p w14:paraId="326EC2D7" w14:textId="77777777" w:rsidR="00A5627F" w:rsidRDefault="00A5627F">
      <w:pPr>
        <w:pStyle w:val="Tabladeilustraciones"/>
        <w:tabs>
          <w:tab w:val="right" w:leader="dot" w:pos="8495"/>
        </w:tabs>
        <w:rPr>
          <w:i w:val="0"/>
          <w:iCs w:val="0"/>
          <w:noProof/>
          <w:sz w:val="22"/>
          <w:szCs w:val="22"/>
          <w:lang w:val="es-ES" w:eastAsia="es-ES"/>
        </w:rPr>
      </w:pPr>
      <w:hyperlink r:id="rId49" w:anchor="_Toc400525292" w:history="1">
        <w:r w:rsidRPr="00B779E7">
          <w:rPr>
            <w:rStyle w:val="Hipervnculo"/>
            <w:noProof/>
            <w:lang w:val="es-ES"/>
          </w:rPr>
          <w:t>Ilustración 17 - Fármacos más vendidos en el mundo en el año 2013 en miles de millones de dólares.</w:t>
        </w:r>
        <w:r>
          <w:rPr>
            <w:noProof/>
            <w:webHidden/>
          </w:rPr>
          <w:tab/>
        </w:r>
        <w:r>
          <w:rPr>
            <w:noProof/>
            <w:webHidden/>
          </w:rPr>
          <w:fldChar w:fldCharType="begin"/>
        </w:r>
        <w:r>
          <w:rPr>
            <w:noProof/>
            <w:webHidden/>
          </w:rPr>
          <w:instrText xml:space="preserve"> PAGEREF _Toc400525292 \h </w:instrText>
        </w:r>
        <w:r>
          <w:rPr>
            <w:noProof/>
            <w:webHidden/>
          </w:rPr>
        </w:r>
        <w:r>
          <w:rPr>
            <w:noProof/>
            <w:webHidden/>
          </w:rPr>
          <w:fldChar w:fldCharType="separate"/>
        </w:r>
        <w:r w:rsidR="0099684C">
          <w:rPr>
            <w:noProof/>
            <w:webHidden/>
          </w:rPr>
          <w:t>25</w:t>
        </w:r>
        <w:r>
          <w:rPr>
            <w:noProof/>
            <w:webHidden/>
          </w:rPr>
          <w:fldChar w:fldCharType="end"/>
        </w:r>
      </w:hyperlink>
    </w:p>
    <w:p w14:paraId="5E35899F" w14:textId="77777777" w:rsidR="00A5627F" w:rsidRDefault="00A5627F">
      <w:pPr>
        <w:pStyle w:val="Tabladeilustraciones"/>
        <w:tabs>
          <w:tab w:val="right" w:leader="dot" w:pos="8495"/>
        </w:tabs>
        <w:rPr>
          <w:i w:val="0"/>
          <w:iCs w:val="0"/>
          <w:noProof/>
          <w:sz w:val="22"/>
          <w:szCs w:val="22"/>
          <w:lang w:val="es-ES" w:eastAsia="es-ES"/>
        </w:rPr>
      </w:pPr>
      <w:hyperlink r:id="rId50" w:anchor="_Toc400525293" w:history="1">
        <w:r w:rsidRPr="00B779E7">
          <w:rPr>
            <w:rStyle w:val="Hipervnculo"/>
            <w:noProof/>
            <w:lang w:val="es-ES"/>
          </w:rPr>
          <w:t>Ilustración 18 – Total de ventas de medicamentos con prescripción médica hasta 2020 y ventas en riegos por pérdidas de patentes.</w:t>
        </w:r>
        <w:r>
          <w:rPr>
            <w:noProof/>
            <w:webHidden/>
          </w:rPr>
          <w:tab/>
        </w:r>
        <w:r>
          <w:rPr>
            <w:noProof/>
            <w:webHidden/>
          </w:rPr>
          <w:fldChar w:fldCharType="begin"/>
        </w:r>
        <w:r>
          <w:rPr>
            <w:noProof/>
            <w:webHidden/>
          </w:rPr>
          <w:instrText xml:space="preserve"> PAGEREF _Toc400525293 \h </w:instrText>
        </w:r>
        <w:r>
          <w:rPr>
            <w:noProof/>
            <w:webHidden/>
          </w:rPr>
        </w:r>
        <w:r>
          <w:rPr>
            <w:noProof/>
            <w:webHidden/>
          </w:rPr>
          <w:fldChar w:fldCharType="separate"/>
        </w:r>
        <w:r w:rsidR="0099684C">
          <w:rPr>
            <w:noProof/>
            <w:webHidden/>
          </w:rPr>
          <w:t>26</w:t>
        </w:r>
        <w:r>
          <w:rPr>
            <w:noProof/>
            <w:webHidden/>
          </w:rPr>
          <w:fldChar w:fldCharType="end"/>
        </w:r>
      </w:hyperlink>
    </w:p>
    <w:p w14:paraId="46ED7898" w14:textId="77777777" w:rsidR="00A5627F" w:rsidRDefault="00A5627F">
      <w:pPr>
        <w:pStyle w:val="Tabladeilustraciones"/>
        <w:tabs>
          <w:tab w:val="right" w:leader="dot" w:pos="8495"/>
        </w:tabs>
        <w:rPr>
          <w:i w:val="0"/>
          <w:iCs w:val="0"/>
          <w:noProof/>
          <w:sz w:val="22"/>
          <w:szCs w:val="22"/>
          <w:lang w:val="es-ES" w:eastAsia="es-ES"/>
        </w:rPr>
      </w:pPr>
      <w:hyperlink r:id="rId51" w:anchor="_Toc400525294" w:history="1">
        <w:r w:rsidRPr="00B779E7">
          <w:rPr>
            <w:rStyle w:val="Hipervnculo"/>
            <w:noProof/>
            <w:lang w:val="es-ES"/>
          </w:rPr>
          <w:t>Ilustración 19 - Porcentaje de solicitudes de patentes secundarias según su objeto.</w:t>
        </w:r>
        <w:r>
          <w:rPr>
            <w:noProof/>
            <w:webHidden/>
          </w:rPr>
          <w:tab/>
        </w:r>
        <w:r>
          <w:rPr>
            <w:noProof/>
            <w:webHidden/>
          </w:rPr>
          <w:fldChar w:fldCharType="begin"/>
        </w:r>
        <w:r>
          <w:rPr>
            <w:noProof/>
            <w:webHidden/>
          </w:rPr>
          <w:instrText xml:space="preserve"> PAGEREF _Toc400525294 \h </w:instrText>
        </w:r>
        <w:r>
          <w:rPr>
            <w:noProof/>
            <w:webHidden/>
          </w:rPr>
        </w:r>
        <w:r>
          <w:rPr>
            <w:noProof/>
            <w:webHidden/>
          </w:rPr>
          <w:fldChar w:fldCharType="separate"/>
        </w:r>
        <w:r w:rsidR="0099684C">
          <w:rPr>
            <w:noProof/>
            <w:webHidden/>
          </w:rPr>
          <w:t>30</w:t>
        </w:r>
        <w:r>
          <w:rPr>
            <w:noProof/>
            <w:webHidden/>
          </w:rPr>
          <w:fldChar w:fldCharType="end"/>
        </w:r>
      </w:hyperlink>
    </w:p>
    <w:p w14:paraId="1F384546" w14:textId="77777777" w:rsidR="00A5627F" w:rsidRDefault="00A5627F">
      <w:pPr>
        <w:pStyle w:val="Tabladeilustraciones"/>
        <w:tabs>
          <w:tab w:val="right" w:leader="dot" w:pos="8495"/>
        </w:tabs>
        <w:rPr>
          <w:i w:val="0"/>
          <w:iCs w:val="0"/>
          <w:noProof/>
          <w:sz w:val="22"/>
          <w:szCs w:val="22"/>
          <w:lang w:val="es-ES" w:eastAsia="es-ES"/>
        </w:rPr>
      </w:pPr>
      <w:hyperlink r:id="rId52" w:anchor="_Toc400525295" w:history="1">
        <w:r w:rsidRPr="00B779E7">
          <w:rPr>
            <w:rStyle w:val="Hipervnculo"/>
            <w:noProof/>
            <w:lang w:val="es-ES"/>
          </w:rPr>
          <w:t>Ilustración 20 - Número de solicitudes divisionarias, y porcentaje respecto al total de solicitudes de patentes para productos farmacéuticos. Fuente: Comisión Europea.</w:t>
        </w:r>
        <w:r>
          <w:rPr>
            <w:noProof/>
            <w:webHidden/>
          </w:rPr>
          <w:tab/>
        </w:r>
        <w:r>
          <w:rPr>
            <w:noProof/>
            <w:webHidden/>
          </w:rPr>
          <w:fldChar w:fldCharType="begin"/>
        </w:r>
        <w:r>
          <w:rPr>
            <w:noProof/>
            <w:webHidden/>
          </w:rPr>
          <w:instrText xml:space="preserve"> PAGEREF _Toc400525295 \h </w:instrText>
        </w:r>
        <w:r>
          <w:rPr>
            <w:noProof/>
            <w:webHidden/>
          </w:rPr>
        </w:r>
        <w:r>
          <w:rPr>
            <w:noProof/>
            <w:webHidden/>
          </w:rPr>
          <w:fldChar w:fldCharType="separate"/>
        </w:r>
        <w:r w:rsidR="0099684C">
          <w:rPr>
            <w:noProof/>
            <w:webHidden/>
          </w:rPr>
          <w:t>31</w:t>
        </w:r>
        <w:r>
          <w:rPr>
            <w:noProof/>
            <w:webHidden/>
          </w:rPr>
          <w:fldChar w:fldCharType="end"/>
        </w:r>
      </w:hyperlink>
    </w:p>
    <w:p w14:paraId="4CC6510A" w14:textId="77777777" w:rsidR="00A5627F" w:rsidRDefault="00A5627F">
      <w:pPr>
        <w:pStyle w:val="Tabladeilustraciones"/>
        <w:tabs>
          <w:tab w:val="right" w:leader="dot" w:pos="8495"/>
        </w:tabs>
        <w:rPr>
          <w:i w:val="0"/>
          <w:iCs w:val="0"/>
          <w:noProof/>
          <w:sz w:val="22"/>
          <w:szCs w:val="22"/>
          <w:lang w:val="es-ES" w:eastAsia="es-ES"/>
        </w:rPr>
      </w:pPr>
      <w:hyperlink r:id="rId53" w:anchor="_Toc400525296" w:history="1">
        <w:r w:rsidRPr="00B779E7">
          <w:rPr>
            <w:rStyle w:val="Hipervnculo"/>
            <w:noProof/>
            <w:lang w:val="es-ES"/>
          </w:rPr>
          <w:t>Ilustración 21 - Comparativa entre la versión de primera y segunda generación del OxyContin.</w:t>
        </w:r>
        <w:r>
          <w:rPr>
            <w:noProof/>
            <w:webHidden/>
          </w:rPr>
          <w:tab/>
        </w:r>
        <w:r>
          <w:rPr>
            <w:noProof/>
            <w:webHidden/>
          </w:rPr>
          <w:fldChar w:fldCharType="begin"/>
        </w:r>
        <w:r>
          <w:rPr>
            <w:noProof/>
            <w:webHidden/>
          </w:rPr>
          <w:instrText xml:space="preserve"> PAGEREF _Toc400525296 \h </w:instrText>
        </w:r>
        <w:r>
          <w:rPr>
            <w:noProof/>
            <w:webHidden/>
          </w:rPr>
        </w:r>
        <w:r>
          <w:rPr>
            <w:noProof/>
            <w:webHidden/>
          </w:rPr>
          <w:fldChar w:fldCharType="separate"/>
        </w:r>
        <w:r w:rsidR="0099684C">
          <w:rPr>
            <w:noProof/>
            <w:webHidden/>
          </w:rPr>
          <w:t>34</w:t>
        </w:r>
        <w:r>
          <w:rPr>
            <w:noProof/>
            <w:webHidden/>
          </w:rPr>
          <w:fldChar w:fldCharType="end"/>
        </w:r>
      </w:hyperlink>
    </w:p>
    <w:p w14:paraId="6F1FD8D4" w14:textId="77777777" w:rsidR="00A5627F" w:rsidRDefault="00A5627F">
      <w:pPr>
        <w:pStyle w:val="Tabladeilustraciones"/>
        <w:tabs>
          <w:tab w:val="right" w:leader="dot" w:pos="8495"/>
        </w:tabs>
        <w:rPr>
          <w:i w:val="0"/>
          <w:iCs w:val="0"/>
          <w:noProof/>
          <w:sz w:val="22"/>
          <w:szCs w:val="22"/>
          <w:lang w:val="es-ES" w:eastAsia="es-ES"/>
        </w:rPr>
      </w:pPr>
      <w:hyperlink w:anchor="_Toc400525297" w:history="1">
        <w:r w:rsidRPr="00B779E7">
          <w:rPr>
            <w:rStyle w:val="Hipervnculo"/>
            <w:noProof/>
            <w:lang w:val="es-ES"/>
          </w:rPr>
          <w:t>Ilustración 22 - Evolución de la ventas tras la salida al mercado de un mercado de producto de segunda generación en competencia con productos genéricos.</w:t>
        </w:r>
        <w:r>
          <w:rPr>
            <w:noProof/>
            <w:webHidden/>
          </w:rPr>
          <w:tab/>
        </w:r>
        <w:r>
          <w:rPr>
            <w:noProof/>
            <w:webHidden/>
          </w:rPr>
          <w:fldChar w:fldCharType="begin"/>
        </w:r>
        <w:r>
          <w:rPr>
            <w:noProof/>
            <w:webHidden/>
          </w:rPr>
          <w:instrText xml:space="preserve"> PAGEREF _Toc400525297 \h </w:instrText>
        </w:r>
        <w:r>
          <w:rPr>
            <w:noProof/>
            <w:webHidden/>
          </w:rPr>
        </w:r>
        <w:r>
          <w:rPr>
            <w:noProof/>
            <w:webHidden/>
          </w:rPr>
          <w:fldChar w:fldCharType="separate"/>
        </w:r>
        <w:r w:rsidR="0099684C">
          <w:rPr>
            <w:noProof/>
            <w:webHidden/>
          </w:rPr>
          <w:t>35</w:t>
        </w:r>
        <w:r>
          <w:rPr>
            <w:noProof/>
            <w:webHidden/>
          </w:rPr>
          <w:fldChar w:fldCharType="end"/>
        </w:r>
      </w:hyperlink>
    </w:p>
    <w:p w14:paraId="74698760" w14:textId="3E65B3CC" w:rsidR="00795BF2" w:rsidRDefault="00A751CD" w:rsidP="00A751CD">
      <w:pPr>
        <w:pStyle w:val="Tabladeilustraciones"/>
        <w:tabs>
          <w:tab w:val="right" w:leader="underscore" w:pos="8495"/>
        </w:tabs>
        <w:rPr>
          <w:rFonts w:cs="Arial"/>
          <w:lang w:val="es-ES"/>
        </w:rPr>
      </w:pPr>
      <w:r>
        <w:rPr>
          <w:rFonts w:cs="Arial"/>
          <w:caps/>
          <w:lang w:val="es-ES"/>
        </w:rPr>
        <w:fldChar w:fldCharType="end"/>
      </w:r>
    </w:p>
    <w:p w14:paraId="65024913" w14:textId="77777777" w:rsidR="005108A7" w:rsidRPr="00AC4499" w:rsidRDefault="005108A7" w:rsidP="00BC6713">
      <w:pPr>
        <w:rPr>
          <w:rFonts w:cs="Arial"/>
          <w:lang w:val="es-ES"/>
        </w:rPr>
      </w:pPr>
      <w:bookmarkStart w:id="105" w:name="_GoBack"/>
      <w:bookmarkEnd w:id="105"/>
    </w:p>
    <w:sectPr w:rsidR="005108A7" w:rsidRPr="00AC4499" w:rsidSect="00A83135">
      <w:headerReference w:type="even" r:id="rId54"/>
      <w:headerReference w:type="default" r:id="rId55"/>
      <w:footerReference w:type="even" r:id="rId56"/>
      <w:footerReference w:type="default" r:id="rId57"/>
      <w:type w:val="continuous"/>
      <w:pgSz w:w="11907" w:h="16839" w:code="9"/>
      <w:pgMar w:top="1417" w:right="1701" w:bottom="1417" w:left="1701"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0DD97" w14:textId="77777777" w:rsidR="006A7A11" w:rsidRDefault="006A7A11">
      <w:r>
        <w:separator/>
      </w:r>
    </w:p>
  </w:endnote>
  <w:endnote w:type="continuationSeparator" w:id="0">
    <w:p w14:paraId="16AD5557" w14:textId="77777777" w:rsidR="006A7A11" w:rsidRDefault="006A7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Fangsong">
    <w:altName w:val="SimSun"/>
    <w:panose1 w:val="00000000000000000000"/>
    <w:charset w:val="86"/>
    <w:family w:val="roman"/>
    <w:notTrueType/>
    <w:pitch w:val="default"/>
  </w:font>
  <w:font w:name="Verdana">
    <w:panose1 w:val="020B0604030504040204"/>
    <w:charset w:val="00"/>
    <w:family w:val="swiss"/>
    <w:pitch w:val="variable"/>
    <w:sig w:usb0="A10006FF" w:usb1="4000205B" w:usb2="00000010" w:usb3="00000000" w:csb0="0000019F" w:csb1="00000000"/>
  </w:font>
  <w:font w:name="Tw Cen MT">
    <w:altName w:val="Times New Roman"/>
    <w:panose1 w:val="00000000000000000000"/>
    <w:charset w:val="00"/>
    <w:family w:val="roman"/>
    <w:notTrueType/>
    <w:pitch w:val="default"/>
  </w:font>
  <w:font w:name="Tw Cen MT Condensed">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04425" w14:textId="77777777" w:rsidR="00A5627F" w:rsidRDefault="00A5627F">
    <w:pPr>
      <w:pStyle w:val="Piedepgina"/>
    </w:pPr>
    <w:sdt>
      <w:sdtPr>
        <w:rPr>
          <w:rFonts w:asciiTheme="majorHAnsi" w:eastAsiaTheme="majorEastAsia" w:hAnsiTheme="majorHAnsi" w:cstheme="majorBidi"/>
        </w:rPr>
        <w:id w:val="306900621"/>
        <w:temporary/>
        <w:showingPlcHdr/>
      </w:sdtPr>
      <w:sdtContent>
        <w:r>
          <w:rPr>
            <w:rFonts w:asciiTheme="majorHAnsi" w:eastAsiaTheme="majorEastAsia" w:hAnsiTheme="majorHAnsi" w:cstheme="majorBidi"/>
          </w:rPr>
          <w:t>[Type text]</w:t>
        </w:r>
      </w:sdtContent>
    </w:sdt>
    <w:r>
      <w:rPr>
        <w:rFonts w:asciiTheme="minorHAnsi" w:hAnsiTheme="minorHAnsi"/>
      </w:rPr>
      <w:fldChar w:fldCharType="begin"/>
    </w:r>
    <w:r>
      <w:rPr>
        <w:rFonts w:ascii="Calibri" w:hAnsi="Calibri"/>
      </w:rPr>
      <w:instrText>[Escriba texto]</w:instrText>
    </w:r>
    <w:r>
      <w:rPr>
        <w:rFonts w:asciiTheme="minorHAnsi" w:hAnsiTheme="minorHAnsi"/>
      </w:rPr>
      <w:fldChar w:fldCharType="separate"/>
    </w:r>
    <w:r>
      <w:rPr>
        <w:rFonts w:ascii="Calibri" w:hAnsi="Calibri"/>
      </w:rPr>
      <w:t xml:space="preserve">Página </w:t>
    </w:r>
    <w:r>
      <w:rPr>
        <w:rFonts w:asciiTheme="majorHAnsi" w:eastAsiaTheme="majorEastAsia" w:hAnsiTheme="majorHAnsi" w:cstheme="majorBidi"/>
        <w:noProof/>
      </w:rPr>
      <w:fldChar w:fldCharType="end"/>
    </w:r>
    <w:r>
      <w:t xml:space="preserve"> PAGE   \* MERGEFORMAT </w:t>
    </w:r>
    <w:r>
      <w:rPr>
        <w:noProof/>
        <w:lang w:val="es-ES" w:eastAsia="es-ES"/>
      </w:rPr>
      <mc:AlternateContent>
        <mc:Choice Requires="wpg">
          <w:drawing>
            <wp:anchor distT="0" distB="0" distL="114300" distR="114300" simplePos="0" relativeHeight="251659264" behindDoc="0" locked="0" layoutInCell="0" allowOverlap="1" wp14:anchorId="42A549E4" wp14:editId="5A1076A2">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729870DE"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44A417A4" wp14:editId="662BD2E8">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E152177"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3e8853 [3208]" strokecolor="#1cade4 [3204]">
              <w10:wrap anchorx="margin" anchory="page"/>
            </v:rect>
          </w:pict>
        </mc:Fallback>
      </mc:AlternateContent>
    </w:r>
    <w:r>
      <w:rPr>
        <w:noProof/>
        <w:lang w:val="es-ES" w:eastAsia="es-ES"/>
      </w:rPr>
      <mc:AlternateContent>
        <mc:Choice Requires="wps">
          <w:drawing>
            <wp:anchor distT="0" distB="0" distL="114300" distR="114300" simplePos="0" relativeHeight="251660288" behindDoc="0" locked="0" layoutInCell="1" allowOverlap="1" wp14:anchorId="3A46F070" wp14:editId="4E82D094">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F3879E4"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3e8853 [3208]" strokecolor="#1cade4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269509"/>
      <w:docPartObj>
        <w:docPartGallery w:val="Page Numbers (Bottom of Page)"/>
        <w:docPartUnique/>
      </w:docPartObj>
    </w:sdtPr>
    <w:sdtContent>
      <w:p w14:paraId="32E83DB5" w14:textId="77777777" w:rsidR="00A5627F" w:rsidRDefault="00A5627F">
        <w:pPr>
          <w:pStyle w:val="Piedepgina"/>
          <w:jc w:val="center"/>
        </w:pPr>
        <w:r>
          <w:fldChar w:fldCharType="begin"/>
        </w:r>
        <w:r>
          <w:instrText>PAGE   \* MERGEFORMAT</w:instrText>
        </w:r>
        <w:r>
          <w:fldChar w:fldCharType="separate"/>
        </w:r>
        <w:r w:rsidR="0099684C" w:rsidRPr="0099684C">
          <w:rPr>
            <w:noProof/>
            <w:lang w:val="es-ES"/>
          </w:rPr>
          <w:t>21</w:t>
        </w:r>
        <w:r>
          <w:fldChar w:fldCharType="end"/>
        </w:r>
      </w:p>
    </w:sdtContent>
  </w:sdt>
  <w:p w14:paraId="12940659" w14:textId="77777777" w:rsidR="00A5627F" w:rsidRDefault="00A562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DBC88" w14:textId="77777777" w:rsidR="006A7A11" w:rsidRDefault="006A7A11">
      <w:r>
        <w:separator/>
      </w:r>
    </w:p>
  </w:footnote>
  <w:footnote w:type="continuationSeparator" w:id="0">
    <w:p w14:paraId="32F7307A" w14:textId="77777777" w:rsidR="006A7A11" w:rsidRDefault="006A7A11">
      <w:r>
        <w:separator/>
      </w:r>
    </w:p>
  </w:footnote>
  <w:footnote w:type="continuationNotice" w:id="1">
    <w:p w14:paraId="66E78115" w14:textId="77777777" w:rsidR="006A7A11" w:rsidRDefault="006A7A11">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B93EF" w14:textId="77777777" w:rsidR="00A5627F" w:rsidRDefault="00A5627F">
    <w:pPr>
      <w:pStyle w:val="Encabezado"/>
      <w:rPr>
        <w:rFonts w:asciiTheme="majorHAnsi" w:eastAsiaTheme="majorEastAsia" w:hAnsiTheme="majorHAnsi" w:cstheme="majorBidi"/>
      </w:rPr>
    </w:pPr>
    <w:r>
      <w:rPr>
        <w:rFonts w:ascii="Calibri" w:hAnsi="Calibri"/>
      </w:rPr>
      <w:t>Plan de marketing de Adventure Works</w:t>
    </w:r>
  </w:p>
  <w:p w14:paraId="77370021" w14:textId="77777777" w:rsidR="00A5627F" w:rsidRDefault="00A5627F">
    <w:pPr>
      <w:pStyle w:val="Encabezado"/>
    </w:pPr>
    <w:r>
      <w:rPr>
        <w:rFonts w:asciiTheme="majorHAnsi" w:eastAsiaTheme="majorEastAsia" w:hAnsiTheme="majorHAnsi" w:cstheme="majorBidi"/>
        <w:noProof/>
        <w:lang w:val="es-ES" w:eastAsia="es-ES"/>
      </w:rPr>
      <mc:AlternateContent>
        <mc:Choice Requires="wpg">
          <w:drawing>
            <wp:anchor distT="0" distB="0" distL="114300" distR="114300" simplePos="0" relativeHeight="251665408" behindDoc="0" locked="0" layoutInCell="1" allowOverlap="1" wp14:anchorId="35FE8C20" wp14:editId="01528AAF">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36C6857C"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es-ES" w:eastAsia="es-ES"/>
      </w:rPr>
      <mc:AlternateContent>
        <mc:Choice Requires="wps">
          <w:drawing>
            <wp:anchor distT="0" distB="0" distL="114300" distR="114300" simplePos="0" relativeHeight="251664384" behindDoc="0" locked="0" layoutInCell="1" allowOverlap="1" wp14:anchorId="569F13FF" wp14:editId="2FCEEEDD">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EAB9938"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3e8853 [3208]" strokecolor="#1cade4 [3204]">
              <w10:wrap anchorx="margin" anchory="page"/>
            </v:rect>
          </w:pict>
        </mc:Fallback>
      </mc:AlternateContent>
    </w:r>
    <w:r>
      <w:rPr>
        <w:rFonts w:asciiTheme="majorHAnsi" w:eastAsiaTheme="majorEastAsia" w:hAnsiTheme="majorHAnsi" w:cstheme="majorBidi"/>
        <w:noProof/>
        <w:lang w:val="es-ES" w:eastAsia="es-ES"/>
      </w:rPr>
      <mc:AlternateContent>
        <mc:Choice Requires="wps">
          <w:drawing>
            <wp:anchor distT="0" distB="0" distL="114300" distR="114300" simplePos="0" relativeHeight="251663360" behindDoc="0" locked="0" layoutInCell="1" allowOverlap="1" wp14:anchorId="30AE4F54" wp14:editId="2A262874">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249C5BE"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3e8853 [3208]" strokecolor="#1cade4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522EF" w14:textId="77777777" w:rsidR="00A5627F" w:rsidRDefault="00A5627F">
    <w:pPr>
      <w:pStyle w:val="Encabezado"/>
    </w:pPr>
    <w:r>
      <w:rPr>
        <w:rFonts w:asciiTheme="majorHAnsi" w:eastAsiaTheme="majorEastAsia" w:hAnsiTheme="majorHAnsi" w:cstheme="majorBidi"/>
        <w:noProof/>
        <w:sz w:val="36"/>
        <w:szCs w:val="36"/>
        <w:lang w:val="es-ES" w:eastAsia="es-ES"/>
      </w:rPr>
      <mc:AlternateContent>
        <mc:Choice Requires="wps">
          <w:drawing>
            <wp:anchor distT="0" distB="0" distL="114300" distR="114300" simplePos="0" relativeHeight="251668480" behindDoc="0" locked="0" layoutInCell="0" allowOverlap="1" wp14:anchorId="14EAA2F0" wp14:editId="08799EE4">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7C317" w14:textId="77777777" w:rsidR="00A5627F" w:rsidRPr="006061ED" w:rsidRDefault="00A5627F" w:rsidP="00A83135">
                          <w:pPr>
                            <w:jc w:val="right"/>
                            <w:rPr>
                              <w:rFonts w:ascii="Calibri" w:hAnsi="Calibri"/>
                              <w:i/>
                              <w:lang w:val="es-ES_tradnl"/>
                            </w:rPr>
                          </w:pPr>
                          <w:r w:rsidRPr="006061ED">
                            <w:rPr>
                              <w:rFonts w:ascii="Calibri" w:hAnsi="Calibri"/>
                              <w:i/>
                              <w:lang w:val="es-ES_tradnl"/>
                            </w:rPr>
                            <w:t>Patentes farmacéuticas y prácticas de evergreening</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4EAA2F0" id="_x0000_t202" coordsize="21600,21600" o:spt="202" path="m,l,21600r21600,l21600,xe">
              <v:stroke joinstyle="miter"/>
              <v:path gradientshapeok="t" o:connecttype="rect"/>
            </v:shapetype>
            <v:shape id="Text Box 475" o:spid="_x0000_s1046" type="#_x0000_t202" style="position:absolute;left:0;text-align:left;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" o:allowincell="f" filled="f" stroked="f">
              <v:textbox style="mso-fit-shape-to-text:t" inset=",0,,0">
                <w:txbxContent>
                  <w:p w14:paraId="3187C317" w14:textId="77777777" w:rsidR="00A5627F" w:rsidRPr="006061ED" w:rsidRDefault="00A5627F" w:rsidP="00A83135">
                    <w:pPr>
                      <w:jc w:val="right"/>
                      <w:rPr>
                        <w:rFonts w:ascii="Calibri" w:hAnsi="Calibri"/>
                        <w:i/>
                        <w:lang w:val="es-ES_tradnl"/>
                      </w:rPr>
                    </w:pPr>
                    <w:r w:rsidRPr="006061ED">
                      <w:rPr>
                        <w:rFonts w:ascii="Calibri" w:hAnsi="Calibri"/>
                        <w:i/>
                        <w:lang w:val="es-ES_tradnl"/>
                      </w:rPr>
                      <w:t>Patentes farmacéuticas y prácticas de evergreening</w:t>
                    </w:r>
                  </w:p>
                </w:txbxContent>
              </v:textbox>
              <w10:wrap anchorx="margin" anchory="margin"/>
            </v:shape>
          </w:pict>
        </mc:Fallback>
      </mc:AlternateContent>
    </w:r>
    <w:r>
      <w:rPr>
        <w:rFonts w:asciiTheme="majorHAnsi" w:eastAsiaTheme="majorEastAsia" w:hAnsiTheme="majorHAnsi" w:cstheme="majorBidi"/>
        <w:noProof/>
        <w:sz w:val="36"/>
        <w:szCs w:val="36"/>
        <w:lang w:val="es-ES" w:eastAsia="es-ES"/>
      </w:rPr>
      <mc:AlternateContent>
        <mc:Choice Requires="wps">
          <w:drawing>
            <wp:anchor distT="0" distB="0" distL="114300" distR="114300" simplePos="0" relativeHeight="251667456" behindDoc="0" locked="0" layoutInCell="0" allowOverlap="1" wp14:anchorId="3CD1522B" wp14:editId="4549FE15">
              <wp:simplePos x="0" y="0"/>
              <wp:positionH relativeFrom="page">
                <wp:align>right</wp:align>
              </wp:positionH>
              <wp:positionV relativeFrom="topMargin">
                <wp:align>center</wp:align>
              </wp:positionV>
              <wp:extent cx="1141095"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70815"/>
                      </a:xfrm>
                      <a:prstGeom prst="rect">
                        <a:avLst/>
                      </a:prstGeom>
                      <a:solidFill>
                        <a:schemeClr val="accent1"/>
                      </a:solidFill>
                      <a:extLst/>
                    </wps:spPr>
                    <wps:txbx>
                      <w:txbxContent>
                        <w:p w14:paraId="7413E6A6" w14:textId="77777777" w:rsidR="00A5627F" w:rsidRDefault="00A5627F">
                          <w:pPr>
                            <w:rPr>
                              <w:color w:val="FFFFFF" w:themeColor="background1"/>
                            </w:rPr>
                          </w:pPr>
                          <w:r>
                            <w:fldChar w:fldCharType="begin"/>
                          </w:r>
                          <w:r>
                            <w:instrText xml:space="preserve"> PAGE   \* MERGEFORMAT </w:instrText>
                          </w:r>
                          <w:r>
                            <w:fldChar w:fldCharType="separate"/>
                          </w:r>
                          <w:r w:rsidR="0099684C" w:rsidRPr="0099684C">
                            <w:rPr>
                              <w:noProof/>
                              <w:color w:val="FFFFFF"/>
                            </w:rPr>
                            <w:t>21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CD1522B" id="Text Box 476" o:spid="_x0000_s1047" type="#_x0000_t202" style="position:absolute;left:0;text-align:left;margin-left:38.65pt;margin-top:0;width:89.85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" o:allowincell="f" fillcolor="#1cade4 [3204]" stroked="f">
              <v:textbox style="mso-fit-shape-to-text:t" inset=",0,,0">
                <w:txbxContent>
                  <w:p w14:paraId="7413E6A6" w14:textId="77777777" w:rsidR="00A5627F" w:rsidRDefault="00A5627F">
                    <w:pPr>
                      <w:rPr>
                        <w:color w:val="FFFFFF" w:themeColor="background1"/>
                      </w:rPr>
                    </w:pPr>
                    <w:r>
                      <w:fldChar w:fldCharType="begin"/>
                    </w:r>
                    <w:r>
                      <w:instrText xml:space="preserve"> PAGE   \* MERGEFORMAT </w:instrText>
                    </w:r>
                    <w:r>
                      <w:fldChar w:fldCharType="separate"/>
                    </w:r>
                    <w:r w:rsidR="0099684C" w:rsidRPr="0099684C">
                      <w:rPr>
                        <w:noProof/>
                        <w:color w:val="FFFFFF"/>
                      </w:rPr>
                      <w:t>21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pStyle w:val="Listaconvietas"/>
      <w:lvlText w:val="*"/>
      <w:lvlJc w:val="left"/>
    </w:lvl>
  </w:abstractNum>
  <w:abstractNum w:abstractNumId="1">
    <w:nsid w:val="02942241"/>
    <w:multiLevelType w:val="multilevel"/>
    <w:tmpl w:val="6E02D8A6"/>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FE7243"/>
    <w:multiLevelType w:val="hybridMultilevel"/>
    <w:tmpl w:val="6D8E3E42"/>
    <w:lvl w:ilvl="0" w:tplc="FF64694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4C3942"/>
    <w:multiLevelType w:val="singleLevel"/>
    <w:tmpl w:val="C8727A20"/>
    <w:lvl w:ilvl="0">
      <w:start w:val="1"/>
      <w:numFmt w:val="decimal"/>
      <w:lvlText w:val="%1)"/>
      <w:legacy w:legacy="1" w:legacySpace="0" w:legacyIndent="360"/>
      <w:lvlJc w:val="left"/>
      <w:pPr>
        <w:ind w:left="720" w:hanging="360"/>
      </w:pPr>
    </w:lvl>
  </w:abstractNum>
  <w:abstractNum w:abstractNumId="4">
    <w:nsid w:val="14D32874"/>
    <w:multiLevelType w:val="multilevel"/>
    <w:tmpl w:val="4614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D72EF"/>
    <w:multiLevelType w:val="hybridMultilevel"/>
    <w:tmpl w:val="865AA2CC"/>
    <w:lvl w:ilvl="0" w:tplc="D5A0FA88">
      <w:numFmt w:val="bullet"/>
      <w:lvlText w:val="-"/>
      <w:lvlJc w:val="left"/>
      <w:pPr>
        <w:ind w:left="720" w:hanging="360"/>
      </w:pPr>
      <w:rPr>
        <w:rFonts w:ascii="Arial" w:eastAsiaTheme="minorEastAsia"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925C0E"/>
    <w:multiLevelType w:val="hybridMultilevel"/>
    <w:tmpl w:val="BD5036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0092CAF"/>
    <w:multiLevelType w:val="hybridMultilevel"/>
    <w:tmpl w:val="E7205E76"/>
    <w:lvl w:ilvl="0" w:tplc="E83CEC32">
      <w:start w:val="1"/>
      <w:numFmt w:val="decimal"/>
      <w:pStyle w:val="Listanumerada"/>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E23D16"/>
    <w:multiLevelType w:val="hybridMultilevel"/>
    <w:tmpl w:val="4A7A9B02"/>
    <w:lvl w:ilvl="0" w:tplc="FF64694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3B257D"/>
    <w:multiLevelType w:val="hybridMultilevel"/>
    <w:tmpl w:val="6D8E3E42"/>
    <w:lvl w:ilvl="0" w:tplc="FF64694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8C833B9"/>
    <w:multiLevelType w:val="hybridMultilevel"/>
    <w:tmpl w:val="D8C0B78E"/>
    <w:lvl w:ilvl="0" w:tplc="57F24E2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67CB6"/>
    <w:multiLevelType w:val="hybridMultilevel"/>
    <w:tmpl w:val="56B8252E"/>
    <w:lvl w:ilvl="0" w:tplc="B60C9C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7FB50E5"/>
    <w:multiLevelType w:val="hybridMultilevel"/>
    <w:tmpl w:val="83B64AF2"/>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6">
    <w:nsid w:val="3B364803"/>
    <w:multiLevelType w:val="hybridMultilevel"/>
    <w:tmpl w:val="7494F2FA"/>
    <w:lvl w:ilvl="0" w:tplc="1478C3C6">
      <w:start w:val="1"/>
      <w:numFmt w:val="decimal"/>
      <w:lvlText w:val="%1."/>
      <w:lvlJc w:val="left"/>
      <w:pPr>
        <w:ind w:left="1146" w:hanging="360"/>
      </w:pPr>
      <w:rPr>
        <w:b/>
      </w:rPr>
    </w:lvl>
    <w:lvl w:ilvl="1" w:tplc="C52A7976">
      <w:numFmt w:val="bullet"/>
      <w:lvlText w:val=""/>
      <w:lvlJc w:val="left"/>
      <w:pPr>
        <w:ind w:left="1866" w:hanging="360"/>
      </w:pPr>
      <w:rPr>
        <w:rFonts w:ascii="Symbol" w:eastAsiaTheme="minorEastAsia" w:hAnsi="Symbol" w:cs="Arial" w:hint="default"/>
      </w:r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nsid w:val="3F125B77"/>
    <w:multiLevelType w:val="hybridMultilevel"/>
    <w:tmpl w:val="668A2604"/>
    <w:lvl w:ilvl="0" w:tplc="F1BAFE86">
      <w:start w:val="1"/>
      <w:numFmt w:val="decimal"/>
      <w:lvlText w:val="%1."/>
      <w:lvlJc w:val="left"/>
      <w:pPr>
        <w:ind w:left="644"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FF0194D"/>
    <w:multiLevelType w:val="hybridMultilevel"/>
    <w:tmpl w:val="861C3F96"/>
    <w:lvl w:ilvl="0" w:tplc="0C0A0003">
      <w:start w:val="1"/>
      <w:numFmt w:val="bullet"/>
      <w:lvlText w:val="o"/>
      <w:lvlJc w:val="left"/>
      <w:pPr>
        <w:ind w:left="720" w:hanging="360"/>
      </w:pPr>
      <w:rPr>
        <w:rFonts w:ascii="Courier New" w:hAnsi="Courier New" w:cs="Courier Ne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18A06BF"/>
    <w:multiLevelType w:val="hybridMultilevel"/>
    <w:tmpl w:val="2A820FEE"/>
    <w:lvl w:ilvl="0" w:tplc="A3F20264">
      <w:start w:val="1"/>
      <w:numFmt w:val="decimal"/>
      <w:lvlText w:val="%1."/>
      <w:lvlJc w:val="left"/>
      <w:pPr>
        <w:ind w:left="720" w:hanging="360"/>
      </w:pPr>
      <w:rPr>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4F05CF7"/>
    <w:multiLevelType w:val="hybridMultilevel"/>
    <w:tmpl w:val="EE421FB8"/>
    <w:lvl w:ilvl="0" w:tplc="B60C9C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05E7267"/>
    <w:multiLevelType w:val="hybridMultilevel"/>
    <w:tmpl w:val="8FCE56E4"/>
    <w:lvl w:ilvl="0" w:tplc="29D4010E">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0F76D1E"/>
    <w:multiLevelType w:val="multilevel"/>
    <w:tmpl w:val="BBAE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AA2193"/>
    <w:multiLevelType w:val="multilevel"/>
    <w:tmpl w:val="9A8A10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55543A42"/>
    <w:multiLevelType w:val="hybridMultilevel"/>
    <w:tmpl w:val="D7B61DB0"/>
    <w:lvl w:ilvl="0" w:tplc="56F0B9DC">
      <w:start w:val="1"/>
      <w:numFmt w:val="lowerLetter"/>
      <w:lvlText w:val="%1."/>
      <w:lvlJc w:val="left"/>
      <w:pPr>
        <w:ind w:left="1004" w:hanging="360"/>
      </w:pPr>
      <w:rPr>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nsid w:val="5D5C6EE6"/>
    <w:multiLevelType w:val="hybridMultilevel"/>
    <w:tmpl w:val="6AD63554"/>
    <w:lvl w:ilvl="0" w:tplc="B60C9C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EC629B3"/>
    <w:multiLevelType w:val="singleLevel"/>
    <w:tmpl w:val="C8727A20"/>
    <w:lvl w:ilvl="0">
      <w:start w:val="1"/>
      <w:numFmt w:val="decimal"/>
      <w:lvlText w:val="%1)"/>
      <w:legacy w:legacy="1" w:legacySpace="0" w:legacyIndent="360"/>
      <w:lvlJc w:val="left"/>
      <w:pPr>
        <w:ind w:left="720" w:hanging="360"/>
      </w:pPr>
    </w:lvl>
  </w:abstractNum>
  <w:abstractNum w:abstractNumId="27">
    <w:nsid w:val="6913449F"/>
    <w:multiLevelType w:val="hybridMultilevel"/>
    <w:tmpl w:val="9A285B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D9F4659"/>
    <w:multiLevelType w:val="multilevel"/>
    <w:tmpl w:val="E0E08F7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0C10DC"/>
    <w:multiLevelType w:val="multilevel"/>
    <w:tmpl w:val="F78E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E34990"/>
    <w:multiLevelType w:val="hybridMultilevel"/>
    <w:tmpl w:val="177EB960"/>
    <w:lvl w:ilvl="0" w:tplc="4868486C">
      <w:start w:val="1"/>
      <w:numFmt w:val="bullet"/>
      <w:lvlText w:val=""/>
      <w:lvlJc w:val="left"/>
      <w:pPr>
        <w:ind w:left="720" w:hanging="360"/>
      </w:pPr>
      <w:rPr>
        <w:rFonts w:ascii="Symbol" w:hAnsi="Symbol" w:hint="default"/>
        <w:color w:val="595959" w:themeColor="text1" w:themeTint="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3">
    <w:abstractNumId w:val="26"/>
  </w:num>
  <w:num w:numId="4">
    <w:abstractNumId w:val="29"/>
  </w:num>
  <w:num w:numId="5">
    <w:abstractNumId w:val="7"/>
  </w:num>
  <w:num w:numId="6">
    <w:abstractNumId w:val="7"/>
    <w:lvlOverride w:ilvl="0">
      <w:startOverride w:val="1"/>
    </w:lvlOverride>
  </w:num>
  <w:num w:numId="7">
    <w:abstractNumId w:val="13"/>
  </w:num>
  <w:num w:numId="8">
    <w:abstractNumId w:val="33"/>
  </w:num>
  <w:num w:numId="9">
    <w:abstractNumId w:val="32"/>
  </w:num>
  <w:num w:numId="10">
    <w:abstractNumId w:val="11"/>
  </w:num>
  <w:num w:numId="11">
    <w:abstractNumId w:val="10"/>
  </w:num>
  <w:num w:numId="12">
    <w:abstractNumId w:val="21"/>
  </w:num>
  <w:num w:numId="13">
    <w:abstractNumId w:val="20"/>
  </w:num>
  <w:num w:numId="14">
    <w:abstractNumId w:val="14"/>
  </w:num>
  <w:num w:numId="15">
    <w:abstractNumId w:val="25"/>
  </w:num>
  <w:num w:numId="16">
    <w:abstractNumId w:val="24"/>
  </w:num>
  <w:num w:numId="17">
    <w:abstractNumId w:val="27"/>
  </w:num>
  <w:num w:numId="18">
    <w:abstractNumId w:val="15"/>
  </w:num>
  <w:num w:numId="19">
    <w:abstractNumId w:val="4"/>
  </w:num>
  <w:num w:numId="20">
    <w:abstractNumId w:val="12"/>
  </w:num>
  <w:num w:numId="21">
    <w:abstractNumId w:val="6"/>
  </w:num>
  <w:num w:numId="22">
    <w:abstractNumId w:val="2"/>
  </w:num>
  <w:num w:numId="23">
    <w:abstractNumId w:val="8"/>
  </w:num>
  <w:num w:numId="24">
    <w:abstractNumId w:val="5"/>
  </w:num>
  <w:num w:numId="25">
    <w:abstractNumId w:val="16"/>
  </w:num>
  <w:num w:numId="26">
    <w:abstractNumId w:val="22"/>
  </w:num>
  <w:num w:numId="27">
    <w:abstractNumId w:val="30"/>
  </w:num>
  <w:num w:numId="28">
    <w:abstractNumId w:val="19"/>
  </w:num>
  <w:num w:numId="29">
    <w:abstractNumId w:val="9"/>
  </w:num>
  <w:num w:numId="30">
    <w:abstractNumId w:val="17"/>
  </w:num>
  <w:num w:numId="31">
    <w:abstractNumId w:val="28"/>
  </w:num>
  <w:num w:numId="32">
    <w:abstractNumId w:val="1"/>
  </w:num>
  <w:num w:numId="33">
    <w:abstractNumId w:val="31"/>
  </w:num>
  <w:num w:numId="34">
    <w:abstractNumId w:val="1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removePersonalInformation/>
  <w:removeDateAndTime/>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8D0"/>
    <w:rsid w:val="00010E4E"/>
    <w:rsid w:val="00013203"/>
    <w:rsid w:val="0001592E"/>
    <w:rsid w:val="00024E71"/>
    <w:rsid w:val="00030266"/>
    <w:rsid w:val="00033F9B"/>
    <w:rsid w:val="00040CD7"/>
    <w:rsid w:val="00046A2A"/>
    <w:rsid w:val="0005296B"/>
    <w:rsid w:val="000552F3"/>
    <w:rsid w:val="000725FB"/>
    <w:rsid w:val="00080EEE"/>
    <w:rsid w:val="000906C6"/>
    <w:rsid w:val="00092630"/>
    <w:rsid w:val="00094C35"/>
    <w:rsid w:val="000B4DA0"/>
    <w:rsid w:val="000B5830"/>
    <w:rsid w:val="000C490C"/>
    <w:rsid w:val="000D0F3E"/>
    <w:rsid w:val="000D35A9"/>
    <w:rsid w:val="000E1F82"/>
    <w:rsid w:val="000F0D8F"/>
    <w:rsid w:val="000F34D4"/>
    <w:rsid w:val="0010043F"/>
    <w:rsid w:val="00101518"/>
    <w:rsid w:val="00104FC9"/>
    <w:rsid w:val="001135D9"/>
    <w:rsid w:val="00125087"/>
    <w:rsid w:val="00130663"/>
    <w:rsid w:val="00131ADC"/>
    <w:rsid w:val="0014287D"/>
    <w:rsid w:val="001443CE"/>
    <w:rsid w:val="00146DFC"/>
    <w:rsid w:val="00150680"/>
    <w:rsid w:val="00150CA5"/>
    <w:rsid w:val="001633E6"/>
    <w:rsid w:val="00166DC3"/>
    <w:rsid w:val="001671FE"/>
    <w:rsid w:val="0017488E"/>
    <w:rsid w:val="0017501D"/>
    <w:rsid w:val="001853B1"/>
    <w:rsid w:val="001875D2"/>
    <w:rsid w:val="00194E91"/>
    <w:rsid w:val="001B241F"/>
    <w:rsid w:val="001B2BDD"/>
    <w:rsid w:val="001B540A"/>
    <w:rsid w:val="001C66BB"/>
    <w:rsid w:val="001D78F1"/>
    <w:rsid w:val="001E0899"/>
    <w:rsid w:val="002217AE"/>
    <w:rsid w:val="00254CF3"/>
    <w:rsid w:val="00261286"/>
    <w:rsid w:val="00267F18"/>
    <w:rsid w:val="00272D6B"/>
    <w:rsid w:val="00275CEA"/>
    <w:rsid w:val="002842CE"/>
    <w:rsid w:val="00284F08"/>
    <w:rsid w:val="00291F4E"/>
    <w:rsid w:val="00292CE8"/>
    <w:rsid w:val="00297141"/>
    <w:rsid w:val="002972FB"/>
    <w:rsid w:val="002A07CB"/>
    <w:rsid w:val="002A2238"/>
    <w:rsid w:val="002B0965"/>
    <w:rsid w:val="002C45D8"/>
    <w:rsid w:val="002C5511"/>
    <w:rsid w:val="002D0A51"/>
    <w:rsid w:val="002E1DA3"/>
    <w:rsid w:val="002F116B"/>
    <w:rsid w:val="00312629"/>
    <w:rsid w:val="00314DBD"/>
    <w:rsid w:val="00346081"/>
    <w:rsid w:val="00357489"/>
    <w:rsid w:val="0036070A"/>
    <w:rsid w:val="00375298"/>
    <w:rsid w:val="0037530E"/>
    <w:rsid w:val="00375FE9"/>
    <w:rsid w:val="00383A3E"/>
    <w:rsid w:val="00385BE1"/>
    <w:rsid w:val="003911FA"/>
    <w:rsid w:val="0039332C"/>
    <w:rsid w:val="00396FF2"/>
    <w:rsid w:val="003A04A9"/>
    <w:rsid w:val="003A2CAB"/>
    <w:rsid w:val="003A746B"/>
    <w:rsid w:val="003B2F46"/>
    <w:rsid w:val="003B620C"/>
    <w:rsid w:val="003C158A"/>
    <w:rsid w:val="003C167C"/>
    <w:rsid w:val="003C6F82"/>
    <w:rsid w:val="003D0B29"/>
    <w:rsid w:val="003D3633"/>
    <w:rsid w:val="003D5916"/>
    <w:rsid w:val="003E0288"/>
    <w:rsid w:val="003E1F1C"/>
    <w:rsid w:val="003E4429"/>
    <w:rsid w:val="003F17FE"/>
    <w:rsid w:val="003F54D1"/>
    <w:rsid w:val="003F54EC"/>
    <w:rsid w:val="003F5E20"/>
    <w:rsid w:val="003F6C7E"/>
    <w:rsid w:val="003F720D"/>
    <w:rsid w:val="003F74CE"/>
    <w:rsid w:val="00410B8F"/>
    <w:rsid w:val="0041357D"/>
    <w:rsid w:val="00413E8B"/>
    <w:rsid w:val="00417E16"/>
    <w:rsid w:val="0042043C"/>
    <w:rsid w:val="00422337"/>
    <w:rsid w:val="00422AC5"/>
    <w:rsid w:val="0042706A"/>
    <w:rsid w:val="00440D89"/>
    <w:rsid w:val="004743B0"/>
    <w:rsid w:val="0048110F"/>
    <w:rsid w:val="004864FA"/>
    <w:rsid w:val="004902BD"/>
    <w:rsid w:val="004A2786"/>
    <w:rsid w:val="004A51BD"/>
    <w:rsid w:val="004A7D12"/>
    <w:rsid w:val="004C3528"/>
    <w:rsid w:val="004C6F35"/>
    <w:rsid w:val="004D17BF"/>
    <w:rsid w:val="004D6BEC"/>
    <w:rsid w:val="004E62B5"/>
    <w:rsid w:val="004E7258"/>
    <w:rsid w:val="004E798E"/>
    <w:rsid w:val="005006AD"/>
    <w:rsid w:val="00504933"/>
    <w:rsid w:val="0050689C"/>
    <w:rsid w:val="0050693B"/>
    <w:rsid w:val="005108A7"/>
    <w:rsid w:val="00512050"/>
    <w:rsid w:val="005140FB"/>
    <w:rsid w:val="00515EC0"/>
    <w:rsid w:val="00521FF5"/>
    <w:rsid w:val="0052774F"/>
    <w:rsid w:val="005346C4"/>
    <w:rsid w:val="0053532F"/>
    <w:rsid w:val="0054794E"/>
    <w:rsid w:val="0055623C"/>
    <w:rsid w:val="005563CE"/>
    <w:rsid w:val="00563C88"/>
    <w:rsid w:val="00570E86"/>
    <w:rsid w:val="00575FBA"/>
    <w:rsid w:val="00576707"/>
    <w:rsid w:val="00590AAF"/>
    <w:rsid w:val="00590F40"/>
    <w:rsid w:val="00596C1F"/>
    <w:rsid w:val="005A4548"/>
    <w:rsid w:val="005A7659"/>
    <w:rsid w:val="005B71F4"/>
    <w:rsid w:val="005C0F56"/>
    <w:rsid w:val="005D1FE0"/>
    <w:rsid w:val="005E1089"/>
    <w:rsid w:val="005E13D1"/>
    <w:rsid w:val="005E3575"/>
    <w:rsid w:val="005E5446"/>
    <w:rsid w:val="005E6AF1"/>
    <w:rsid w:val="005E78BD"/>
    <w:rsid w:val="005F3B8D"/>
    <w:rsid w:val="00602992"/>
    <w:rsid w:val="00602C00"/>
    <w:rsid w:val="006061ED"/>
    <w:rsid w:val="00606312"/>
    <w:rsid w:val="00626FD0"/>
    <w:rsid w:val="00631FCE"/>
    <w:rsid w:val="006412F5"/>
    <w:rsid w:val="00660DF0"/>
    <w:rsid w:val="00667555"/>
    <w:rsid w:val="00667EF2"/>
    <w:rsid w:val="00681D8C"/>
    <w:rsid w:val="00683EEA"/>
    <w:rsid w:val="00696937"/>
    <w:rsid w:val="00697ACE"/>
    <w:rsid w:val="006A7A11"/>
    <w:rsid w:val="006B7F76"/>
    <w:rsid w:val="006C4F41"/>
    <w:rsid w:val="006C5F0D"/>
    <w:rsid w:val="006C7648"/>
    <w:rsid w:val="006D1484"/>
    <w:rsid w:val="006D7BFD"/>
    <w:rsid w:val="006E3DC4"/>
    <w:rsid w:val="006E68E7"/>
    <w:rsid w:val="006E6EA6"/>
    <w:rsid w:val="0070513C"/>
    <w:rsid w:val="007068B3"/>
    <w:rsid w:val="00711A1B"/>
    <w:rsid w:val="007146A7"/>
    <w:rsid w:val="0071472C"/>
    <w:rsid w:val="00721855"/>
    <w:rsid w:val="0075164F"/>
    <w:rsid w:val="007778FB"/>
    <w:rsid w:val="00785966"/>
    <w:rsid w:val="00795BF2"/>
    <w:rsid w:val="007A50F0"/>
    <w:rsid w:val="007B20EC"/>
    <w:rsid w:val="007C01D1"/>
    <w:rsid w:val="007D08E3"/>
    <w:rsid w:val="007D7972"/>
    <w:rsid w:val="007D7B97"/>
    <w:rsid w:val="007F1875"/>
    <w:rsid w:val="007F3B02"/>
    <w:rsid w:val="00812081"/>
    <w:rsid w:val="008140C1"/>
    <w:rsid w:val="00816CE9"/>
    <w:rsid w:val="00817CF8"/>
    <w:rsid w:val="00822BC6"/>
    <w:rsid w:val="00830E21"/>
    <w:rsid w:val="008518D0"/>
    <w:rsid w:val="00851FB4"/>
    <w:rsid w:val="00863BF5"/>
    <w:rsid w:val="0086654F"/>
    <w:rsid w:val="008840BB"/>
    <w:rsid w:val="00892164"/>
    <w:rsid w:val="008B3901"/>
    <w:rsid w:val="008C0D02"/>
    <w:rsid w:val="008E16B6"/>
    <w:rsid w:val="008E2154"/>
    <w:rsid w:val="008E5FFD"/>
    <w:rsid w:val="008F002B"/>
    <w:rsid w:val="008F2412"/>
    <w:rsid w:val="008F396B"/>
    <w:rsid w:val="008F786E"/>
    <w:rsid w:val="009213D9"/>
    <w:rsid w:val="009230F9"/>
    <w:rsid w:val="0092507F"/>
    <w:rsid w:val="00953118"/>
    <w:rsid w:val="009569A3"/>
    <w:rsid w:val="00964736"/>
    <w:rsid w:val="00971230"/>
    <w:rsid w:val="0099684C"/>
    <w:rsid w:val="009A119B"/>
    <w:rsid w:val="009A5FD6"/>
    <w:rsid w:val="009B24DE"/>
    <w:rsid w:val="009B3D14"/>
    <w:rsid w:val="009C18F9"/>
    <w:rsid w:val="009E1422"/>
    <w:rsid w:val="009E18CF"/>
    <w:rsid w:val="009F69CB"/>
    <w:rsid w:val="00A10AC3"/>
    <w:rsid w:val="00A20357"/>
    <w:rsid w:val="00A35DFC"/>
    <w:rsid w:val="00A41C18"/>
    <w:rsid w:val="00A41D8D"/>
    <w:rsid w:val="00A552E5"/>
    <w:rsid w:val="00A5627F"/>
    <w:rsid w:val="00A65BA0"/>
    <w:rsid w:val="00A7380B"/>
    <w:rsid w:val="00A751CD"/>
    <w:rsid w:val="00A83135"/>
    <w:rsid w:val="00A94D57"/>
    <w:rsid w:val="00AA0B91"/>
    <w:rsid w:val="00AA1D3F"/>
    <w:rsid w:val="00AA79C8"/>
    <w:rsid w:val="00AC16CF"/>
    <w:rsid w:val="00AC4499"/>
    <w:rsid w:val="00AD13DC"/>
    <w:rsid w:val="00AD5346"/>
    <w:rsid w:val="00AE17CE"/>
    <w:rsid w:val="00AF2D87"/>
    <w:rsid w:val="00AF3B41"/>
    <w:rsid w:val="00B22707"/>
    <w:rsid w:val="00B22C35"/>
    <w:rsid w:val="00B366EE"/>
    <w:rsid w:val="00B41D99"/>
    <w:rsid w:val="00B60EDF"/>
    <w:rsid w:val="00B64864"/>
    <w:rsid w:val="00B66E49"/>
    <w:rsid w:val="00B72078"/>
    <w:rsid w:val="00B72BC9"/>
    <w:rsid w:val="00B73735"/>
    <w:rsid w:val="00B82D53"/>
    <w:rsid w:val="00B83632"/>
    <w:rsid w:val="00B83CF2"/>
    <w:rsid w:val="00B84F7A"/>
    <w:rsid w:val="00B94C98"/>
    <w:rsid w:val="00BB0C27"/>
    <w:rsid w:val="00BB13EE"/>
    <w:rsid w:val="00BC2CA5"/>
    <w:rsid w:val="00BC585D"/>
    <w:rsid w:val="00BC598F"/>
    <w:rsid w:val="00BC6713"/>
    <w:rsid w:val="00BD3FD2"/>
    <w:rsid w:val="00BE7BB7"/>
    <w:rsid w:val="00BF6622"/>
    <w:rsid w:val="00C2469C"/>
    <w:rsid w:val="00C260C9"/>
    <w:rsid w:val="00C26B46"/>
    <w:rsid w:val="00C368AF"/>
    <w:rsid w:val="00C4053E"/>
    <w:rsid w:val="00C41631"/>
    <w:rsid w:val="00C522B0"/>
    <w:rsid w:val="00C80BC8"/>
    <w:rsid w:val="00C83926"/>
    <w:rsid w:val="00C92040"/>
    <w:rsid w:val="00C94C93"/>
    <w:rsid w:val="00CA389E"/>
    <w:rsid w:val="00CA7D9B"/>
    <w:rsid w:val="00CB11F0"/>
    <w:rsid w:val="00CC3740"/>
    <w:rsid w:val="00CC49AA"/>
    <w:rsid w:val="00CC77BA"/>
    <w:rsid w:val="00CD12EE"/>
    <w:rsid w:val="00CD182D"/>
    <w:rsid w:val="00CE7A9C"/>
    <w:rsid w:val="00CF7781"/>
    <w:rsid w:val="00D13740"/>
    <w:rsid w:val="00D23FBB"/>
    <w:rsid w:val="00D2451E"/>
    <w:rsid w:val="00D31B8F"/>
    <w:rsid w:val="00D32546"/>
    <w:rsid w:val="00D3651A"/>
    <w:rsid w:val="00D54ECD"/>
    <w:rsid w:val="00D8159A"/>
    <w:rsid w:val="00DA0085"/>
    <w:rsid w:val="00DA2B1B"/>
    <w:rsid w:val="00DA3049"/>
    <w:rsid w:val="00DB0028"/>
    <w:rsid w:val="00DC5035"/>
    <w:rsid w:val="00DE067D"/>
    <w:rsid w:val="00DF33AD"/>
    <w:rsid w:val="00DF690B"/>
    <w:rsid w:val="00E04044"/>
    <w:rsid w:val="00E07A5F"/>
    <w:rsid w:val="00E1253E"/>
    <w:rsid w:val="00E268E8"/>
    <w:rsid w:val="00E35289"/>
    <w:rsid w:val="00E3760B"/>
    <w:rsid w:val="00E40017"/>
    <w:rsid w:val="00E4435B"/>
    <w:rsid w:val="00E512E3"/>
    <w:rsid w:val="00E52A9C"/>
    <w:rsid w:val="00E54EF8"/>
    <w:rsid w:val="00E557CF"/>
    <w:rsid w:val="00E56294"/>
    <w:rsid w:val="00E64298"/>
    <w:rsid w:val="00E642B3"/>
    <w:rsid w:val="00E722C6"/>
    <w:rsid w:val="00E7416D"/>
    <w:rsid w:val="00E80E3B"/>
    <w:rsid w:val="00E85289"/>
    <w:rsid w:val="00E91A9C"/>
    <w:rsid w:val="00E920A6"/>
    <w:rsid w:val="00EE2471"/>
    <w:rsid w:val="00EE2702"/>
    <w:rsid w:val="00EE34E8"/>
    <w:rsid w:val="00F01721"/>
    <w:rsid w:val="00F039EA"/>
    <w:rsid w:val="00F24647"/>
    <w:rsid w:val="00F24C18"/>
    <w:rsid w:val="00F24C83"/>
    <w:rsid w:val="00F36644"/>
    <w:rsid w:val="00F37233"/>
    <w:rsid w:val="00F4566C"/>
    <w:rsid w:val="00F52BC7"/>
    <w:rsid w:val="00F61C9E"/>
    <w:rsid w:val="00F61E10"/>
    <w:rsid w:val="00F65732"/>
    <w:rsid w:val="00F67691"/>
    <w:rsid w:val="00F67986"/>
    <w:rsid w:val="00F73288"/>
    <w:rsid w:val="00F75EA4"/>
    <w:rsid w:val="00F81D45"/>
    <w:rsid w:val="00F82C06"/>
    <w:rsid w:val="00F833EA"/>
    <w:rsid w:val="00FB4103"/>
    <w:rsid w:val="00FC5E60"/>
    <w:rsid w:val="00FD58A6"/>
    <w:rsid w:val="00FE3385"/>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17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20" w:line="360"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5A9"/>
    <w:pPr>
      <w:spacing w:after="0" w:line="240" w:lineRule="auto"/>
      <w:ind w:left="360"/>
      <w:jc w:val="both"/>
    </w:pPr>
    <w:rPr>
      <w:rFonts w:ascii="Arial" w:hAnsi="Arial"/>
    </w:rPr>
  </w:style>
  <w:style w:type="paragraph" w:styleId="Ttulo1">
    <w:name w:val="heading 1"/>
    <w:basedOn w:val="Normal"/>
    <w:next w:val="Normal"/>
    <w:link w:val="Ttulo1Car"/>
    <w:autoRedefine/>
    <w:uiPriority w:val="9"/>
    <w:qFormat/>
    <w:rsid w:val="00F24C18"/>
    <w:pPr>
      <w:keepNext/>
      <w:keepLines/>
      <w:spacing w:before="480"/>
      <w:ind w:left="0"/>
      <w:outlineLvl w:val="0"/>
    </w:pPr>
    <w:rPr>
      <w:rFonts w:eastAsiaTheme="majorEastAsia" w:cstheme="majorBidi"/>
      <w:b/>
      <w:bCs/>
      <w:color w:val="1481AB" w:themeColor="accent1" w:themeShade="BF"/>
      <w:sz w:val="28"/>
      <w:szCs w:val="28"/>
    </w:rPr>
  </w:style>
  <w:style w:type="paragraph" w:styleId="Ttulo2">
    <w:name w:val="heading 2"/>
    <w:basedOn w:val="Normal"/>
    <w:next w:val="Normal"/>
    <w:link w:val="Ttulo2Car"/>
    <w:autoRedefine/>
    <w:uiPriority w:val="9"/>
    <w:unhideWhenUsed/>
    <w:qFormat/>
    <w:rsid w:val="00346081"/>
    <w:pPr>
      <w:keepNext/>
      <w:keepLines/>
      <w:ind w:left="0"/>
      <w:outlineLvl w:val="1"/>
    </w:pPr>
    <w:rPr>
      <w:rFonts w:eastAsiaTheme="majorEastAsia" w:cstheme="majorBidi"/>
      <w:b/>
      <w:bCs/>
      <w:color w:val="1CADE4" w:themeColor="accent1"/>
      <w:szCs w:val="26"/>
    </w:rPr>
  </w:style>
  <w:style w:type="paragraph" w:styleId="Ttulo3">
    <w:name w:val="heading 3"/>
    <w:basedOn w:val="Normal"/>
    <w:next w:val="Normal"/>
    <w:link w:val="Ttulo3Car"/>
    <w:uiPriority w:val="9"/>
    <w:unhideWhenUsed/>
    <w:qFormat/>
    <w:rsid w:val="00375FE9"/>
    <w:pPr>
      <w:keepNext/>
      <w:keepLines/>
      <w:spacing w:before="80"/>
      <w:outlineLvl w:val="2"/>
    </w:pPr>
    <w:rPr>
      <w:rFonts w:eastAsiaTheme="majorEastAsia" w:cstheme="majorBidi"/>
      <w:b/>
      <w:bCs/>
    </w:rPr>
  </w:style>
  <w:style w:type="paragraph" w:styleId="Ttulo4">
    <w:name w:val="heading 4"/>
    <w:basedOn w:val="Normal"/>
    <w:next w:val="Normal"/>
    <w:link w:val="Ttulo4Car"/>
    <w:uiPriority w:val="9"/>
    <w:unhideWhenUsed/>
    <w:qFormat/>
    <w:rsid w:val="0017501D"/>
    <w:pPr>
      <w:keepNext/>
      <w:keepLines/>
      <w:spacing w:before="200"/>
      <w:outlineLvl w:val="3"/>
    </w:pPr>
    <w:rPr>
      <w:rFonts w:asciiTheme="majorHAnsi" w:eastAsiaTheme="majorEastAsia" w:hAnsiTheme="majorHAnsi" w:cstheme="majorBidi"/>
      <w:b/>
      <w:bCs/>
      <w:i/>
      <w:iCs/>
      <w:color w:val="1CADE4" w:themeColor="accent1"/>
    </w:rPr>
  </w:style>
  <w:style w:type="paragraph" w:styleId="Ttulo5">
    <w:name w:val="heading 5"/>
    <w:basedOn w:val="Normal"/>
    <w:next w:val="Normal"/>
    <w:link w:val="Ttulo5Car"/>
    <w:uiPriority w:val="9"/>
    <w:unhideWhenUsed/>
    <w:qFormat/>
    <w:rsid w:val="0017501D"/>
    <w:pPr>
      <w:keepNext/>
      <w:keepLines/>
      <w:spacing w:before="200"/>
      <w:outlineLvl w:val="4"/>
    </w:pPr>
    <w:rPr>
      <w:rFonts w:asciiTheme="majorHAnsi" w:eastAsiaTheme="majorEastAsia" w:hAnsiTheme="majorHAnsi" w:cstheme="majorBidi"/>
      <w:color w:val="0D5571" w:themeColor="accent1" w:themeShade="7F"/>
    </w:rPr>
  </w:style>
  <w:style w:type="paragraph" w:styleId="Ttulo6">
    <w:name w:val="heading 6"/>
    <w:basedOn w:val="Normal"/>
    <w:next w:val="Normal"/>
    <w:link w:val="Ttulo6Car"/>
    <w:uiPriority w:val="9"/>
    <w:unhideWhenUsed/>
    <w:qFormat/>
    <w:rsid w:val="0017501D"/>
    <w:pPr>
      <w:keepNext/>
      <w:keepLines/>
      <w:spacing w:before="200"/>
      <w:outlineLvl w:val="5"/>
    </w:pPr>
    <w:rPr>
      <w:rFonts w:asciiTheme="majorHAnsi" w:eastAsiaTheme="majorEastAsia" w:hAnsiTheme="majorHAnsi" w:cstheme="majorBidi"/>
      <w:i/>
      <w:iCs/>
      <w:color w:val="0D5571" w:themeColor="accent1" w:themeShade="7F"/>
    </w:rPr>
  </w:style>
  <w:style w:type="paragraph" w:styleId="Ttulo7">
    <w:name w:val="heading 7"/>
    <w:basedOn w:val="Normal"/>
    <w:next w:val="Normal"/>
    <w:link w:val="Ttulo7Car"/>
    <w:uiPriority w:val="9"/>
    <w:unhideWhenUsed/>
    <w:qFormat/>
    <w:rsid w:val="0017501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7501D"/>
    <w:pPr>
      <w:keepNext/>
      <w:keepLines/>
      <w:spacing w:before="200"/>
      <w:outlineLvl w:val="7"/>
    </w:pPr>
    <w:rPr>
      <w:rFonts w:asciiTheme="majorHAnsi" w:eastAsiaTheme="majorEastAsia" w:hAnsiTheme="majorHAnsi" w:cstheme="majorBidi"/>
      <w:color w:val="1CADE4" w:themeColor="accent1"/>
      <w:sz w:val="20"/>
      <w:szCs w:val="20"/>
    </w:rPr>
  </w:style>
  <w:style w:type="paragraph" w:styleId="Ttulo9">
    <w:name w:val="heading 9"/>
    <w:basedOn w:val="Normal"/>
    <w:next w:val="Normal"/>
    <w:link w:val="Ttulo9Car"/>
    <w:uiPriority w:val="9"/>
    <w:unhideWhenUsed/>
    <w:qFormat/>
    <w:rsid w:val="001750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F2D87"/>
    <w:pPr>
      <w:spacing w:after="240" w:line="240" w:lineRule="atLeast"/>
      <w:ind w:firstLine="360"/>
    </w:pPr>
  </w:style>
  <w:style w:type="character" w:customStyle="1" w:styleId="TextoindependienteCar">
    <w:name w:val="Texto independiente Car"/>
    <w:basedOn w:val="Fuentedeprrafopredeter"/>
    <w:link w:val="Textoindependiente"/>
    <w:rsid w:val="00D2451E"/>
    <w:rPr>
      <w:rFonts w:ascii="Garamond" w:hAnsi="Garamond"/>
      <w:sz w:val="22"/>
      <w:lang w:val="en-US" w:eastAsia="en-US" w:bidi="ar-SA"/>
    </w:rPr>
  </w:style>
  <w:style w:type="paragraph" w:customStyle="1" w:styleId="Citadebloque">
    <w:name w:val="Cita de bloque"/>
    <w:basedOn w:val="Textoindependiente"/>
    <w:link w:val="CitadebloqueC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CitadebloqueCar">
    <w:name w:val="Cita de bloque Car"/>
    <w:basedOn w:val="Fuentedeprrafopredeter"/>
    <w:link w:val="Citadebloque"/>
    <w:rsid w:val="00D2451E"/>
    <w:rPr>
      <w:rFonts w:ascii="Garamond" w:hAnsi="Garamond"/>
      <w:i/>
      <w:sz w:val="22"/>
      <w:lang w:val="en-US" w:eastAsia="en-US" w:bidi="ar-SA"/>
    </w:rPr>
  </w:style>
  <w:style w:type="paragraph" w:styleId="Descripcin">
    <w:name w:val="caption"/>
    <w:basedOn w:val="Normal"/>
    <w:next w:val="Normal"/>
    <w:uiPriority w:val="35"/>
    <w:unhideWhenUsed/>
    <w:qFormat/>
    <w:rsid w:val="0017501D"/>
    <w:rPr>
      <w:b/>
      <w:bCs/>
      <w:color w:val="1CADE4" w:themeColor="accent1"/>
      <w:sz w:val="18"/>
      <w:szCs w:val="18"/>
    </w:rPr>
  </w:style>
  <w:style w:type="character" w:styleId="Refdenotaalfinal">
    <w:name w:val="endnote reference"/>
    <w:semiHidden/>
    <w:rsid w:val="00AF2D87"/>
    <w:rPr>
      <w:vertAlign w:val="superscript"/>
    </w:rPr>
  </w:style>
  <w:style w:type="paragraph" w:styleId="Textonotaalfinal">
    <w:name w:val="endnote text"/>
    <w:basedOn w:val="Normal"/>
    <w:semiHidden/>
    <w:rsid w:val="00AD13DC"/>
  </w:style>
  <w:style w:type="character" w:styleId="Refdenotaalpie">
    <w:name w:val="footnote reference"/>
    <w:uiPriority w:val="99"/>
    <w:semiHidden/>
    <w:rsid w:val="00AF2D87"/>
    <w:rPr>
      <w:vertAlign w:val="superscript"/>
    </w:rPr>
  </w:style>
  <w:style w:type="paragraph" w:styleId="Textonotapie">
    <w:name w:val="footnote text"/>
    <w:basedOn w:val="Normal"/>
    <w:link w:val="TextonotapieCar"/>
    <w:uiPriority w:val="99"/>
    <w:semiHidden/>
    <w:rsid w:val="00AD13DC"/>
  </w:style>
  <w:style w:type="paragraph" w:styleId="ndice1">
    <w:name w:val="index 1"/>
    <w:basedOn w:val="Normal"/>
    <w:semiHidden/>
    <w:rsid w:val="00AD13DC"/>
    <w:rPr>
      <w:sz w:val="21"/>
    </w:rPr>
  </w:style>
  <w:style w:type="paragraph" w:styleId="ndice2">
    <w:name w:val="index 2"/>
    <w:basedOn w:val="Normal"/>
    <w:semiHidden/>
    <w:rsid w:val="00AD13DC"/>
    <w:pPr>
      <w:ind w:hanging="240"/>
    </w:pPr>
    <w:rPr>
      <w:sz w:val="21"/>
    </w:rPr>
  </w:style>
  <w:style w:type="paragraph" w:styleId="ndice3">
    <w:name w:val="index 3"/>
    <w:basedOn w:val="Normal"/>
    <w:semiHidden/>
    <w:rsid w:val="00AD13DC"/>
    <w:pPr>
      <w:ind w:left="480" w:hanging="240"/>
    </w:pPr>
    <w:rPr>
      <w:sz w:val="21"/>
    </w:rPr>
  </w:style>
  <w:style w:type="paragraph" w:styleId="ndice4">
    <w:name w:val="index 4"/>
    <w:basedOn w:val="Normal"/>
    <w:semiHidden/>
    <w:rsid w:val="00AD13DC"/>
    <w:pPr>
      <w:ind w:left="600" w:hanging="240"/>
    </w:pPr>
    <w:rPr>
      <w:sz w:val="21"/>
    </w:rPr>
  </w:style>
  <w:style w:type="paragraph" w:styleId="ndice5">
    <w:name w:val="index 5"/>
    <w:basedOn w:val="Normal"/>
    <w:semiHidden/>
    <w:rsid w:val="00AD13DC"/>
    <w:pPr>
      <w:ind w:left="840"/>
    </w:pPr>
    <w:rPr>
      <w:sz w:val="21"/>
    </w:rPr>
  </w:style>
  <w:style w:type="paragraph" w:styleId="Ttulodendice">
    <w:name w:val="index heading"/>
    <w:basedOn w:val="Normal"/>
    <w:next w:val="ndice1"/>
    <w:semiHidden/>
    <w:rsid w:val="00AD13DC"/>
    <w:pPr>
      <w:spacing w:line="480" w:lineRule="atLeast"/>
    </w:pPr>
    <w:rPr>
      <w:spacing w:val="-5"/>
      <w:sz w:val="28"/>
    </w:rPr>
  </w:style>
  <w:style w:type="character" w:customStyle="1" w:styleId="nfasisdeintroduccin">
    <w:name w:val="Énfasis de introducción"/>
    <w:rsid w:val="00AF2D87"/>
    <w:rPr>
      <w:caps/>
      <w:sz w:val="18"/>
    </w:rPr>
  </w:style>
  <w:style w:type="paragraph" w:styleId="Listaconvietas">
    <w:name w:val="List Bullet"/>
    <w:basedOn w:val="Normal"/>
    <w:rsid w:val="00AD13DC"/>
    <w:pPr>
      <w:numPr>
        <w:numId w:val="2"/>
      </w:numPr>
      <w:spacing w:after="240" w:line="240" w:lineRule="atLeast"/>
      <w:ind w:right="720"/>
    </w:pPr>
  </w:style>
  <w:style w:type="paragraph" w:styleId="Textomacro">
    <w:name w:val="macro"/>
    <w:basedOn w:val="Textoindependiente"/>
    <w:semiHidden/>
    <w:rsid w:val="00AF2D87"/>
    <w:pPr>
      <w:spacing w:line="240" w:lineRule="auto"/>
      <w:jc w:val="left"/>
    </w:pPr>
    <w:rPr>
      <w:rFonts w:ascii="Courier New" w:hAnsi="Courier New"/>
    </w:rPr>
  </w:style>
  <w:style w:type="character" w:styleId="Nmerodepgina">
    <w:name w:val="page number"/>
    <w:rsid w:val="00AF2D87"/>
    <w:rPr>
      <w:sz w:val="24"/>
    </w:rPr>
  </w:style>
  <w:style w:type="paragraph" w:customStyle="1" w:styleId="Portadadesubttulo">
    <w:name w:val="Portada de subtítulo"/>
    <w:basedOn w:val="Portadadettulo"/>
    <w:next w:val="Textoindependiente"/>
    <w:rsid w:val="00AF2D87"/>
    <w:pPr>
      <w:pBdr>
        <w:top w:val="single" w:sz="6" w:space="12" w:color="808080"/>
      </w:pBdr>
      <w:spacing w:after="0" w:line="440" w:lineRule="atLeast"/>
    </w:pPr>
    <w:rPr>
      <w:spacing w:val="30"/>
      <w:sz w:val="36"/>
    </w:rPr>
  </w:style>
  <w:style w:type="paragraph" w:customStyle="1" w:styleId="Portadadettulo">
    <w:name w:val="Portada de título"/>
    <w:basedOn w:val="Normal"/>
    <w:next w:val="Portadadesubttulo"/>
    <w:rsid w:val="00AD13DC"/>
    <w:pPr>
      <w:keepNext/>
      <w:keepLines/>
      <w:spacing w:after="240" w:line="720" w:lineRule="atLeast"/>
      <w:jc w:val="center"/>
    </w:pPr>
    <w:rPr>
      <w:caps/>
      <w:spacing w:val="65"/>
      <w:kern w:val="20"/>
      <w:sz w:val="64"/>
    </w:rPr>
  </w:style>
  <w:style w:type="paragraph" w:styleId="Tabladeilustraciones">
    <w:name w:val="table of figures"/>
    <w:basedOn w:val="Normal"/>
    <w:uiPriority w:val="99"/>
    <w:rsid w:val="00AD13DC"/>
    <w:pPr>
      <w:ind w:left="0"/>
      <w:jc w:val="left"/>
    </w:pPr>
    <w:rPr>
      <w:rFonts w:asciiTheme="minorHAnsi" w:hAnsiTheme="minorHAnsi"/>
      <w:i/>
      <w:iCs/>
      <w:sz w:val="20"/>
      <w:szCs w:val="20"/>
    </w:rPr>
  </w:style>
  <w:style w:type="paragraph" w:styleId="TDC1">
    <w:name w:val="toc 1"/>
    <w:basedOn w:val="Normal"/>
    <w:uiPriority w:val="39"/>
    <w:rsid w:val="00AD13DC"/>
    <w:pPr>
      <w:tabs>
        <w:tab w:val="right" w:leader="dot" w:pos="5040"/>
      </w:tabs>
    </w:pPr>
  </w:style>
  <w:style w:type="paragraph" w:styleId="TDC2">
    <w:name w:val="toc 2"/>
    <w:basedOn w:val="Normal"/>
    <w:uiPriority w:val="39"/>
    <w:rsid w:val="00AD13DC"/>
    <w:pPr>
      <w:tabs>
        <w:tab w:val="right" w:leader="dot" w:pos="5040"/>
      </w:tabs>
    </w:pPr>
  </w:style>
  <w:style w:type="paragraph" w:styleId="TDC3">
    <w:name w:val="toc 3"/>
    <w:basedOn w:val="Normal"/>
    <w:uiPriority w:val="39"/>
    <w:rsid w:val="00AD13DC"/>
    <w:pPr>
      <w:tabs>
        <w:tab w:val="right" w:leader="dot" w:pos="5040"/>
      </w:tabs>
    </w:pPr>
    <w:rPr>
      <w:i/>
    </w:rPr>
  </w:style>
  <w:style w:type="paragraph" w:styleId="TDC4">
    <w:name w:val="toc 4"/>
    <w:basedOn w:val="Normal"/>
    <w:semiHidden/>
    <w:rsid w:val="00AD13DC"/>
    <w:pPr>
      <w:tabs>
        <w:tab w:val="right" w:leader="dot" w:pos="5040"/>
      </w:tabs>
    </w:pPr>
    <w:rPr>
      <w:i/>
    </w:rPr>
  </w:style>
  <w:style w:type="paragraph" w:styleId="TDC5">
    <w:name w:val="toc 5"/>
    <w:basedOn w:val="Normal"/>
    <w:semiHidden/>
    <w:rsid w:val="00AD13DC"/>
    <w:rPr>
      <w:i/>
    </w:rPr>
  </w:style>
  <w:style w:type="paragraph" w:styleId="Subttulo">
    <w:name w:val="Subtitle"/>
    <w:basedOn w:val="Normal"/>
    <w:next w:val="Normal"/>
    <w:link w:val="SubttuloCar"/>
    <w:uiPriority w:val="11"/>
    <w:qFormat/>
    <w:rsid w:val="0017501D"/>
    <w:pPr>
      <w:numPr>
        <w:ilvl w:val="1"/>
      </w:numPr>
      <w:ind w:left="360"/>
    </w:pPr>
    <w:rPr>
      <w:rFonts w:asciiTheme="majorHAnsi" w:eastAsiaTheme="majorEastAsia" w:hAnsiTheme="majorHAnsi" w:cstheme="majorBidi"/>
      <w:i/>
      <w:iCs/>
      <w:color w:val="1CADE4" w:themeColor="accent1"/>
      <w:spacing w:val="15"/>
      <w:sz w:val="24"/>
      <w:szCs w:val="24"/>
    </w:rPr>
  </w:style>
  <w:style w:type="paragraph" w:styleId="Puesto">
    <w:name w:val="Title"/>
    <w:basedOn w:val="Normal"/>
    <w:next w:val="Normal"/>
    <w:link w:val="PuestoCar"/>
    <w:uiPriority w:val="10"/>
    <w:qFormat/>
    <w:rsid w:val="0017501D"/>
    <w:pPr>
      <w:pBdr>
        <w:bottom w:val="single" w:sz="8" w:space="4" w:color="1CADE4" w:themeColor="accent1"/>
      </w:pBdr>
      <w:spacing w:after="300"/>
      <w:contextualSpacing/>
    </w:pPr>
    <w:rPr>
      <w:rFonts w:asciiTheme="majorHAnsi" w:eastAsiaTheme="majorEastAsia" w:hAnsiTheme="majorHAnsi" w:cstheme="majorBidi"/>
      <w:color w:val="264356" w:themeColor="text2" w:themeShade="BF"/>
      <w:spacing w:val="5"/>
      <w:kern w:val="28"/>
      <w:sz w:val="52"/>
      <w:szCs w:val="52"/>
    </w:rPr>
  </w:style>
  <w:style w:type="paragraph" w:customStyle="1" w:styleId="Encabezadodelascolumnas">
    <w:name w:val="Encabezado de las columnas"/>
    <w:basedOn w:val="Normal"/>
    <w:rsid w:val="004D6BEC"/>
    <w:pPr>
      <w:keepNext/>
      <w:spacing w:before="80"/>
      <w:jc w:val="center"/>
    </w:pPr>
    <w:rPr>
      <w:caps/>
      <w:sz w:val="14"/>
    </w:rPr>
  </w:style>
  <w:style w:type="character" w:styleId="Refdecomentario">
    <w:name w:val="annotation reference"/>
    <w:semiHidden/>
    <w:rsid w:val="00AF2D87"/>
    <w:rPr>
      <w:sz w:val="16"/>
    </w:rPr>
  </w:style>
  <w:style w:type="paragraph" w:styleId="Textocomentario">
    <w:name w:val="annotation text"/>
    <w:basedOn w:val="Normal"/>
    <w:link w:val="TextocomentarioCar"/>
    <w:semiHidden/>
    <w:rsid w:val="00AD13DC"/>
  </w:style>
  <w:style w:type="paragraph" w:customStyle="1" w:styleId="Nombredeempresa">
    <w:name w:val="Nombre de empresa"/>
    <w:basedOn w:val="Textoindependiente"/>
    <w:rsid w:val="00AF2D87"/>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semiHidden/>
    <w:rsid w:val="00AF2D87"/>
    <w:pPr>
      <w:tabs>
        <w:tab w:val="right" w:leader="dot" w:pos="7560"/>
      </w:tabs>
    </w:pPr>
  </w:style>
  <w:style w:type="paragraph" w:styleId="Encabezadodelista">
    <w:name w:val="toa heading"/>
    <w:basedOn w:val="Normal"/>
    <w:next w:val="Textoconsangra"/>
    <w:semiHidden/>
    <w:rsid w:val="00AF2D87"/>
    <w:pPr>
      <w:keepNext/>
      <w:spacing w:line="720" w:lineRule="atLeast"/>
    </w:pPr>
    <w:rPr>
      <w:caps/>
      <w:spacing w:val="-10"/>
      <w:kern w:val="28"/>
    </w:rPr>
  </w:style>
  <w:style w:type="paragraph" w:customStyle="1" w:styleId="Etiquetadefilas">
    <w:name w:val="Etiqueta de filas"/>
    <w:basedOn w:val="Ttulo1"/>
    <w:rsid w:val="00B84F7A"/>
    <w:rPr>
      <w:rFonts w:ascii="Calibri" w:hAnsi="Calibri"/>
      <w:color w:val="9D3511"/>
      <w:lang w:val="es-ES_tradnl"/>
    </w:rPr>
  </w:style>
  <w:style w:type="paragraph" w:customStyle="1" w:styleId="Porcentaje">
    <w:name w:val="Porcentaje"/>
    <w:basedOn w:val="Normal"/>
    <w:rsid w:val="009213D9"/>
    <w:pPr>
      <w:spacing w:before="40"/>
      <w:jc w:val="center"/>
    </w:pPr>
    <w:rPr>
      <w:sz w:val="18"/>
    </w:rPr>
  </w:style>
  <w:style w:type="paragraph" w:customStyle="1" w:styleId="Listanumerada">
    <w:name w:val="Lista numerada"/>
    <w:basedOn w:val="Normal"/>
    <w:link w:val="ListanumeradaCar"/>
    <w:rsid w:val="00697ACE"/>
    <w:pPr>
      <w:numPr>
        <w:numId w:val="5"/>
      </w:numPr>
      <w:spacing w:after="240" w:line="312" w:lineRule="auto"/>
      <w:contextualSpacing/>
    </w:pPr>
  </w:style>
  <w:style w:type="character" w:customStyle="1" w:styleId="ListanumeradaCar">
    <w:name w:val="Lista numerada Car"/>
    <w:basedOn w:val="Fuentedeprrafopredeter"/>
    <w:link w:val="Listanumerada"/>
    <w:rsid w:val="00697ACE"/>
    <w:rPr>
      <w:rFonts w:ascii="Garamond" w:hAnsi="Garamond"/>
      <w:sz w:val="22"/>
      <w:lang w:val="en-US" w:eastAsia="en-US" w:bidi="ar-SA"/>
    </w:rPr>
  </w:style>
  <w:style w:type="paragraph" w:customStyle="1" w:styleId="Elementodestacadodelistanumerada">
    <w:name w:val="Elemento destacado de lista numerada"/>
    <w:basedOn w:val="Listanumerada"/>
    <w:link w:val="ElementodestacadodelistanumeradaCar"/>
    <w:rsid w:val="00D2451E"/>
    <w:rPr>
      <w:b/>
      <w:bCs/>
    </w:rPr>
  </w:style>
  <w:style w:type="character" w:customStyle="1" w:styleId="ElementodestacadodelistanumeradaCar">
    <w:name w:val="Elemento destacado de lista numerada Car"/>
    <w:basedOn w:val="ListanumeradaCar"/>
    <w:link w:val="Elementodestacadodelistanumerada"/>
    <w:rsid w:val="00D2451E"/>
    <w:rPr>
      <w:rFonts w:ascii="Garamond" w:hAnsi="Garamond"/>
      <w:b/>
      <w:bCs/>
      <w:sz w:val="22"/>
      <w:lang w:val="en-US" w:eastAsia="en-US" w:bidi="ar-SA"/>
    </w:rPr>
  </w:style>
  <w:style w:type="paragraph" w:customStyle="1" w:styleId="Interlineado">
    <w:name w:val="Interlineado"/>
    <w:basedOn w:val="Normal"/>
    <w:rsid w:val="00D2451E"/>
    <w:rPr>
      <w:rFonts w:ascii="Verdana" w:hAnsi="Verdana"/>
      <w:sz w:val="12"/>
    </w:rPr>
  </w:style>
  <w:style w:type="paragraph" w:styleId="Sinespaciado">
    <w:name w:val="No Spacing"/>
    <w:link w:val="SinespaciadoCar"/>
    <w:uiPriority w:val="1"/>
    <w:qFormat/>
    <w:rsid w:val="0017501D"/>
    <w:pPr>
      <w:spacing w:after="0" w:line="240" w:lineRule="auto"/>
    </w:pPr>
  </w:style>
  <w:style w:type="character" w:customStyle="1" w:styleId="SinespaciadoCar">
    <w:name w:val="Sin espaciado Car"/>
    <w:basedOn w:val="Fuentedeprrafopredeter"/>
    <w:link w:val="Sinespaciado"/>
    <w:uiPriority w:val="1"/>
    <w:rsid w:val="00AF3B41"/>
  </w:style>
  <w:style w:type="paragraph" w:styleId="Textodeglobo">
    <w:name w:val="Balloon Text"/>
    <w:basedOn w:val="Normal"/>
    <w:link w:val="TextodegloboCar"/>
    <w:rsid w:val="00AF3B41"/>
    <w:rPr>
      <w:rFonts w:ascii="Tahoma" w:hAnsi="Tahoma" w:cs="Tahoma"/>
      <w:sz w:val="16"/>
      <w:szCs w:val="16"/>
    </w:rPr>
  </w:style>
  <w:style w:type="character" w:customStyle="1" w:styleId="TextodegloboCar">
    <w:name w:val="Texto de globo Car"/>
    <w:basedOn w:val="Fuentedeprrafopredeter"/>
    <w:link w:val="Textodeglobo"/>
    <w:rsid w:val="00AF3B41"/>
    <w:rPr>
      <w:rFonts w:ascii="Tahoma" w:hAnsi="Tahoma" w:cs="Tahoma"/>
      <w:sz w:val="16"/>
      <w:szCs w:val="16"/>
    </w:rPr>
  </w:style>
  <w:style w:type="character" w:customStyle="1" w:styleId="Ttulo1Car">
    <w:name w:val="Título 1 Car"/>
    <w:basedOn w:val="Fuentedeprrafopredeter"/>
    <w:link w:val="Ttulo1"/>
    <w:uiPriority w:val="9"/>
    <w:rsid w:val="00F24C18"/>
    <w:rPr>
      <w:rFonts w:ascii="Arial" w:eastAsiaTheme="majorEastAsia" w:hAnsi="Arial" w:cstheme="majorBidi"/>
      <w:b/>
      <w:bCs/>
      <w:color w:val="1481AB" w:themeColor="accent1" w:themeShade="BF"/>
      <w:sz w:val="28"/>
      <w:szCs w:val="28"/>
    </w:rPr>
  </w:style>
  <w:style w:type="character" w:customStyle="1" w:styleId="Ttulo2Car">
    <w:name w:val="Título 2 Car"/>
    <w:basedOn w:val="Fuentedeprrafopredeter"/>
    <w:link w:val="Ttulo2"/>
    <w:uiPriority w:val="9"/>
    <w:rsid w:val="00346081"/>
    <w:rPr>
      <w:rFonts w:ascii="Arial" w:eastAsiaTheme="majorEastAsia" w:hAnsi="Arial" w:cstheme="majorBidi"/>
      <w:b/>
      <w:bCs/>
      <w:color w:val="1CADE4" w:themeColor="accent1"/>
      <w:szCs w:val="26"/>
    </w:rPr>
  </w:style>
  <w:style w:type="character" w:customStyle="1" w:styleId="Ttulo3Car">
    <w:name w:val="Título 3 Car"/>
    <w:basedOn w:val="Fuentedeprrafopredeter"/>
    <w:link w:val="Ttulo3"/>
    <w:uiPriority w:val="9"/>
    <w:rsid w:val="00375FE9"/>
    <w:rPr>
      <w:rFonts w:ascii="Arial" w:eastAsiaTheme="majorEastAsia" w:hAnsi="Arial" w:cstheme="majorBidi"/>
      <w:b/>
      <w:bCs/>
    </w:rPr>
  </w:style>
  <w:style w:type="character" w:customStyle="1" w:styleId="Ttulo4Car">
    <w:name w:val="Título 4 Car"/>
    <w:basedOn w:val="Fuentedeprrafopredeter"/>
    <w:link w:val="Ttulo4"/>
    <w:uiPriority w:val="9"/>
    <w:rsid w:val="0017501D"/>
    <w:rPr>
      <w:rFonts w:asciiTheme="majorHAnsi" w:eastAsiaTheme="majorEastAsia" w:hAnsiTheme="majorHAnsi" w:cstheme="majorBidi"/>
      <w:b/>
      <w:bCs/>
      <w:i/>
      <w:iCs/>
      <w:color w:val="1CADE4" w:themeColor="accent1"/>
    </w:rPr>
  </w:style>
  <w:style w:type="character" w:customStyle="1" w:styleId="Ttulo5Car">
    <w:name w:val="Título 5 Car"/>
    <w:basedOn w:val="Fuentedeprrafopredeter"/>
    <w:link w:val="Ttulo5"/>
    <w:uiPriority w:val="9"/>
    <w:rsid w:val="0017501D"/>
    <w:rPr>
      <w:rFonts w:asciiTheme="majorHAnsi" w:eastAsiaTheme="majorEastAsia" w:hAnsiTheme="majorHAnsi" w:cstheme="majorBidi"/>
      <w:color w:val="0D5571" w:themeColor="accent1" w:themeShade="7F"/>
    </w:rPr>
  </w:style>
  <w:style w:type="character" w:customStyle="1" w:styleId="Ttulo6Car">
    <w:name w:val="Título 6 Car"/>
    <w:basedOn w:val="Fuentedeprrafopredeter"/>
    <w:link w:val="Ttulo6"/>
    <w:uiPriority w:val="9"/>
    <w:rsid w:val="0017501D"/>
    <w:rPr>
      <w:rFonts w:asciiTheme="majorHAnsi" w:eastAsiaTheme="majorEastAsia" w:hAnsiTheme="majorHAnsi" w:cstheme="majorBidi"/>
      <w:i/>
      <w:iCs/>
      <w:color w:val="0D5571" w:themeColor="accent1" w:themeShade="7F"/>
    </w:rPr>
  </w:style>
  <w:style w:type="character" w:customStyle="1" w:styleId="Ttulo7Car">
    <w:name w:val="Título 7 Car"/>
    <w:basedOn w:val="Fuentedeprrafopredeter"/>
    <w:link w:val="Ttulo7"/>
    <w:uiPriority w:val="9"/>
    <w:rsid w:val="0017501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17501D"/>
    <w:rPr>
      <w:rFonts w:asciiTheme="majorHAnsi" w:eastAsiaTheme="majorEastAsia" w:hAnsiTheme="majorHAnsi" w:cstheme="majorBidi"/>
      <w:color w:val="1CADE4" w:themeColor="accent1"/>
      <w:sz w:val="20"/>
      <w:szCs w:val="20"/>
    </w:rPr>
  </w:style>
  <w:style w:type="character" w:customStyle="1" w:styleId="Ttulo9Car">
    <w:name w:val="Título 9 Car"/>
    <w:basedOn w:val="Fuentedeprrafopredeter"/>
    <w:link w:val="Ttulo9"/>
    <w:uiPriority w:val="9"/>
    <w:rsid w:val="0017501D"/>
    <w:rPr>
      <w:rFonts w:asciiTheme="majorHAnsi" w:eastAsiaTheme="majorEastAsia" w:hAnsiTheme="majorHAnsi" w:cstheme="majorBidi"/>
      <w:i/>
      <w:iCs/>
      <w:color w:val="404040" w:themeColor="text1" w:themeTint="BF"/>
      <w:sz w:val="20"/>
      <w:szCs w:val="20"/>
    </w:rPr>
  </w:style>
  <w:style w:type="character" w:customStyle="1" w:styleId="PuestoCar">
    <w:name w:val="Puesto Car"/>
    <w:basedOn w:val="Fuentedeprrafopredeter"/>
    <w:link w:val="Puesto"/>
    <w:uiPriority w:val="10"/>
    <w:rsid w:val="0017501D"/>
    <w:rPr>
      <w:rFonts w:asciiTheme="majorHAnsi" w:eastAsiaTheme="majorEastAsia" w:hAnsiTheme="majorHAnsi" w:cstheme="majorBidi"/>
      <w:color w:val="264356" w:themeColor="text2" w:themeShade="BF"/>
      <w:spacing w:val="5"/>
      <w:kern w:val="28"/>
      <w:sz w:val="52"/>
      <w:szCs w:val="52"/>
    </w:rPr>
  </w:style>
  <w:style w:type="character" w:customStyle="1" w:styleId="SubttuloCar">
    <w:name w:val="Subtítulo Car"/>
    <w:basedOn w:val="Fuentedeprrafopredeter"/>
    <w:link w:val="Subttulo"/>
    <w:uiPriority w:val="11"/>
    <w:rsid w:val="0017501D"/>
    <w:rPr>
      <w:rFonts w:asciiTheme="majorHAnsi" w:eastAsiaTheme="majorEastAsia" w:hAnsiTheme="majorHAnsi" w:cstheme="majorBidi"/>
      <w:i/>
      <w:iCs/>
      <w:color w:val="1CADE4" w:themeColor="accent1"/>
      <w:spacing w:val="15"/>
      <w:sz w:val="24"/>
      <w:szCs w:val="24"/>
    </w:rPr>
  </w:style>
  <w:style w:type="character" w:styleId="Textoennegrita">
    <w:name w:val="Strong"/>
    <w:basedOn w:val="Fuentedeprrafopredeter"/>
    <w:uiPriority w:val="22"/>
    <w:qFormat/>
    <w:rsid w:val="0017501D"/>
    <w:rPr>
      <w:b/>
      <w:bCs/>
    </w:rPr>
  </w:style>
  <w:style w:type="character" w:styleId="nfasis">
    <w:name w:val="Emphasis"/>
    <w:basedOn w:val="Fuentedeprrafopredeter"/>
    <w:uiPriority w:val="20"/>
    <w:qFormat/>
    <w:rsid w:val="00F24C18"/>
    <w:rPr>
      <w:rFonts w:ascii="Arial" w:hAnsi="Arial"/>
      <w:i/>
      <w:iCs/>
      <w:sz w:val="22"/>
    </w:rPr>
  </w:style>
  <w:style w:type="paragraph" w:styleId="Prrafodelista">
    <w:name w:val="List Paragraph"/>
    <w:basedOn w:val="Normal"/>
    <w:uiPriority w:val="34"/>
    <w:qFormat/>
    <w:rsid w:val="0017501D"/>
    <w:pPr>
      <w:ind w:left="720"/>
      <w:contextualSpacing/>
    </w:pPr>
  </w:style>
  <w:style w:type="paragraph" w:styleId="Cita">
    <w:name w:val="Quote"/>
    <w:basedOn w:val="Normal"/>
    <w:next w:val="Normal"/>
    <w:link w:val="CitaCar"/>
    <w:uiPriority w:val="29"/>
    <w:qFormat/>
    <w:rsid w:val="0017501D"/>
    <w:rPr>
      <w:i/>
      <w:iCs/>
      <w:color w:val="000000" w:themeColor="text1"/>
    </w:rPr>
  </w:style>
  <w:style w:type="character" w:customStyle="1" w:styleId="CitaCar">
    <w:name w:val="Cita Car"/>
    <w:basedOn w:val="Fuentedeprrafopredeter"/>
    <w:link w:val="Cita"/>
    <w:uiPriority w:val="29"/>
    <w:rsid w:val="0017501D"/>
    <w:rPr>
      <w:i/>
      <w:iCs/>
      <w:color w:val="000000" w:themeColor="text1"/>
    </w:rPr>
  </w:style>
  <w:style w:type="paragraph" w:styleId="Citadestacada">
    <w:name w:val="Intense Quote"/>
    <w:basedOn w:val="Normal"/>
    <w:next w:val="Normal"/>
    <w:link w:val="CitadestacadaCar"/>
    <w:uiPriority w:val="30"/>
    <w:qFormat/>
    <w:rsid w:val="0017501D"/>
    <w:pPr>
      <w:pBdr>
        <w:bottom w:val="single" w:sz="4" w:space="4" w:color="1CADE4" w:themeColor="accent1"/>
      </w:pBdr>
      <w:spacing w:before="200" w:after="280"/>
      <w:ind w:left="936" w:right="936"/>
    </w:pPr>
    <w:rPr>
      <w:b/>
      <w:bCs/>
      <w:i/>
      <w:iCs/>
      <w:color w:val="1CADE4" w:themeColor="accent1"/>
    </w:rPr>
  </w:style>
  <w:style w:type="character" w:customStyle="1" w:styleId="CitadestacadaCar">
    <w:name w:val="Cita destacada Car"/>
    <w:basedOn w:val="Fuentedeprrafopredeter"/>
    <w:link w:val="Citadestacada"/>
    <w:uiPriority w:val="30"/>
    <w:rsid w:val="0017501D"/>
    <w:rPr>
      <w:b/>
      <w:bCs/>
      <w:i/>
      <w:iCs/>
      <w:color w:val="1CADE4" w:themeColor="accent1"/>
    </w:rPr>
  </w:style>
  <w:style w:type="character" w:styleId="nfasissutil">
    <w:name w:val="Subtle Emphasis"/>
    <w:basedOn w:val="Fuentedeprrafopredeter"/>
    <w:uiPriority w:val="19"/>
    <w:qFormat/>
    <w:rsid w:val="0017501D"/>
    <w:rPr>
      <w:i/>
      <w:iCs/>
      <w:color w:val="808080" w:themeColor="text1" w:themeTint="7F"/>
    </w:rPr>
  </w:style>
  <w:style w:type="character" w:styleId="nfasisintenso">
    <w:name w:val="Intense Emphasis"/>
    <w:basedOn w:val="Fuentedeprrafopredeter"/>
    <w:uiPriority w:val="21"/>
    <w:qFormat/>
    <w:rsid w:val="0017501D"/>
    <w:rPr>
      <w:b/>
      <w:bCs/>
      <w:i/>
      <w:iCs/>
      <w:color w:val="1CADE4" w:themeColor="accent1"/>
    </w:rPr>
  </w:style>
  <w:style w:type="character" w:styleId="Referenciasutil">
    <w:name w:val="Subtle Reference"/>
    <w:basedOn w:val="Fuentedeprrafopredeter"/>
    <w:uiPriority w:val="31"/>
    <w:qFormat/>
    <w:rsid w:val="0017501D"/>
    <w:rPr>
      <w:smallCaps/>
      <w:color w:val="2683C6" w:themeColor="accent2"/>
      <w:u w:val="single"/>
    </w:rPr>
  </w:style>
  <w:style w:type="character" w:styleId="Referenciaintensa">
    <w:name w:val="Intense Reference"/>
    <w:basedOn w:val="Fuentedeprrafopredeter"/>
    <w:uiPriority w:val="32"/>
    <w:qFormat/>
    <w:rsid w:val="0017501D"/>
    <w:rPr>
      <w:b/>
      <w:bCs/>
      <w:smallCaps/>
      <w:color w:val="2683C6" w:themeColor="accent2"/>
      <w:spacing w:val="5"/>
      <w:u w:val="single"/>
    </w:rPr>
  </w:style>
  <w:style w:type="character" w:styleId="Ttulodellibro">
    <w:name w:val="Book Title"/>
    <w:basedOn w:val="Fuentedeprrafopredeter"/>
    <w:uiPriority w:val="33"/>
    <w:qFormat/>
    <w:rsid w:val="0017501D"/>
    <w:rPr>
      <w:b/>
      <w:bCs/>
      <w:smallCaps/>
      <w:spacing w:val="5"/>
    </w:rPr>
  </w:style>
  <w:style w:type="paragraph" w:styleId="TtulodeTDC">
    <w:name w:val="TOC Heading"/>
    <w:basedOn w:val="Ttulo1"/>
    <w:next w:val="Normal"/>
    <w:uiPriority w:val="39"/>
    <w:unhideWhenUsed/>
    <w:qFormat/>
    <w:rsid w:val="0017501D"/>
    <w:pPr>
      <w:outlineLvl w:val="9"/>
    </w:pPr>
  </w:style>
  <w:style w:type="character" w:styleId="Hipervnculo">
    <w:name w:val="Hyperlink"/>
    <w:basedOn w:val="Fuentedeprrafopredeter"/>
    <w:uiPriority w:val="99"/>
    <w:unhideWhenUsed/>
    <w:rsid w:val="005C0F56"/>
    <w:rPr>
      <w:color w:val="6B9F25" w:themeColor="hyperlink"/>
      <w:u w:val="single"/>
    </w:rPr>
  </w:style>
  <w:style w:type="paragraph" w:styleId="Piedepgina">
    <w:name w:val="footer"/>
    <w:basedOn w:val="Normal"/>
    <w:link w:val="PiedepginaCar"/>
    <w:uiPriority w:val="99"/>
    <w:rsid w:val="005C0F56"/>
    <w:pPr>
      <w:tabs>
        <w:tab w:val="center" w:pos="4680"/>
        <w:tab w:val="right" w:pos="9360"/>
      </w:tabs>
    </w:pPr>
  </w:style>
  <w:style w:type="character" w:customStyle="1" w:styleId="PiedepginaCar">
    <w:name w:val="Pie de página Car"/>
    <w:basedOn w:val="Fuentedeprrafopredeter"/>
    <w:link w:val="Piedepgina"/>
    <w:uiPriority w:val="99"/>
    <w:rsid w:val="005C0F56"/>
  </w:style>
  <w:style w:type="paragraph" w:styleId="Encabezado">
    <w:name w:val="header"/>
    <w:basedOn w:val="Normal"/>
    <w:link w:val="EncabezadoCar"/>
    <w:uiPriority w:val="99"/>
    <w:rsid w:val="005C0F56"/>
    <w:pPr>
      <w:tabs>
        <w:tab w:val="center" w:pos="4680"/>
        <w:tab w:val="right" w:pos="9360"/>
      </w:tabs>
    </w:pPr>
  </w:style>
  <w:style w:type="character" w:customStyle="1" w:styleId="EncabezadoCar">
    <w:name w:val="Encabezado Car"/>
    <w:basedOn w:val="Fuentedeprrafopredeter"/>
    <w:link w:val="Encabezado"/>
    <w:uiPriority w:val="99"/>
    <w:rsid w:val="005C0F56"/>
  </w:style>
  <w:style w:type="paragraph" w:styleId="Asuntodelcomentario">
    <w:name w:val="annotation subject"/>
    <w:basedOn w:val="Textocomentario"/>
    <w:next w:val="Textocomentario"/>
    <w:link w:val="AsuntodelcomentarioCar"/>
    <w:rsid w:val="005E6AF1"/>
    <w:rPr>
      <w:b/>
      <w:bCs/>
      <w:sz w:val="20"/>
      <w:szCs w:val="20"/>
    </w:rPr>
  </w:style>
  <w:style w:type="character" w:customStyle="1" w:styleId="TextocomentarioCar">
    <w:name w:val="Texto comentario Car"/>
    <w:basedOn w:val="Fuentedeprrafopredeter"/>
    <w:link w:val="Textocomentario"/>
    <w:semiHidden/>
    <w:rsid w:val="005E6AF1"/>
  </w:style>
  <w:style w:type="character" w:customStyle="1" w:styleId="AsuntodelcomentarioCar">
    <w:name w:val="Asunto del comentario Car"/>
    <w:basedOn w:val="TextocomentarioCar"/>
    <w:link w:val="Asuntodelcomentario"/>
    <w:rsid w:val="005E6AF1"/>
  </w:style>
  <w:style w:type="paragraph" w:styleId="NormalWeb">
    <w:name w:val="Normal (Web)"/>
    <w:basedOn w:val="Normal"/>
    <w:uiPriority w:val="99"/>
    <w:unhideWhenUsed/>
    <w:rsid w:val="0055623C"/>
    <w:pPr>
      <w:spacing w:before="100" w:beforeAutospacing="1" w:after="100" w:afterAutospacing="1"/>
      <w:ind w:left="0"/>
      <w:jc w:val="left"/>
    </w:pPr>
    <w:rPr>
      <w:rFonts w:ascii="Times New Roman" w:eastAsia="Times New Roman" w:hAnsi="Times New Roman" w:cs="Times New Roman"/>
      <w:sz w:val="24"/>
      <w:szCs w:val="24"/>
      <w:lang w:val="es-ES" w:eastAsia="es-ES"/>
    </w:rPr>
  </w:style>
  <w:style w:type="table" w:styleId="Tablaconcuadrcula">
    <w:name w:val="Table Grid"/>
    <w:basedOn w:val="Tablanormal"/>
    <w:rsid w:val="00510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5108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notapieCar">
    <w:name w:val="Texto nota pie Car"/>
    <w:basedOn w:val="Fuentedeprrafopredeter"/>
    <w:link w:val="Textonotapie"/>
    <w:uiPriority w:val="99"/>
    <w:semiHidden/>
    <w:rsid w:val="009230F9"/>
    <w:rPr>
      <w:rFonts w:ascii="Arial" w:hAnsi="Arial"/>
    </w:rPr>
  </w:style>
  <w:style w:type="table" w:styleId="Tabladecuadrcula4-nfasis1">
    <w:name w:val="Grid Table 4 Accent 1"/>
    <w:basedOn w:val="Tablanormal"/>
    <w:uiPriority w:val="49"/>
    <w:rsid w:val="009230F9"/>
    <w:pPr>
      <w:spacing w:after="0" w:line="240" w:lineRule="auto"/>
    </w:pPr>
    <w:rPr>
      <w:rFonts w:eastAsiaTheme="minorHAnsi"/>
      <w:lang w:val="es-ES" w:eastAsia="en-US"/>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ladelista4-nfasis1">
    <w:name w:val="List Table 4 Accent 1"/>
    <w:basedOn w:val="Tablanormal"/>
    <w:uiPriority w:val="49"/>
    <w:rsid w:val="00711A1B"/>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1856">
      <w:bodyDiv w:val="1"/>
      <w:marLeft w:val="0"/>
      <w:marRight w:val="0"/>
      <w:marTop w:val="0"/>
      <w:marBottom w:val="0"/>
      <w:divBdr>
        <w:top w:val="none" w:sz="0" w:space="0" w:color="auto"/>
        <w:left w:val="none" w:sz="0" w:space="0" w:color="auto"/>
        <w:bottom w:val="none" w:sz="0" w:space="0" w:color="auto"/>
        <w:right w:val="none" w:sz="0" w:space="0" w:color="auto"/>
      </w:divBdr>
      <w:divsChild>
        <w:div w:id="809397192">
          <w:marLeft w:val="0"/>
          <w:marRight w:val="0"/>
          <w:marTop w:val="0"/>
          <w:marBottom w:val="0"/>
          <w:divBdr>
            <w:top w:val="none" w:sz="0" w:space="0" w:color="auto"/>
            <w:left w:val="none" w:sz="0" w:space="0" w:color="auto"/>
            <w:bottom w:val="none" w:sz="0" w:space="0" w:color="auto"/>
            <w:right w:val="none" w:sz="0" w:space="0" w:color="auto"/>
          </w:divBdr>
          <w:divsChild>
            <w:div w:id="2060082504">
              <w:marLeft w:val="0"/>
              <w:marRight w:val="0"/>
              <w:marTop w:val="0"/>
              <w:marBottom w:val="0"/>
              <w:divBdr>
                <w:top w:val="none" w:sz="0" w:space="0" w:color="auto"/>
                <w:left w:val="none" w:sz="0" w:space="0" w:color="auto"/>
                <w:bottom w:val="none" w:sz="0" w:space="0" w:color="auto"/>
                <w:right w:val="none" w:sz="0" w:space="0" w:color="auto"/>
              </w:divBdr>
              <w:divsChild>
                <w:div w:id="1488744005">
                  <w:marLeft w:val="0"/>
                  <w:marRight w:val="0"/>
                  <w:marTop w:val="0"/>
                  <w:marBottom w:val="0"/>
                  <w:divBdr>
                    <w:top w:val="none" w:sz="0" w:space="0" w:color="auto"/>
                    <w:left w:val="none" w:sz="0" w:space="0" w:color="auto"/>
                    <w:bottom w:val="none" w:sz="0" w:space="0" w:color="auto"/>
                    <w:right w:val="none" w:sz="0" w:space="0" w:color="auto"/>
                  </w:divBdr>
                  <w:divsChild>
                    <w:div w:id="1390301639">
                      <w:marLeft w:val="0"/>
                      <w:marRight w:val="0"/>
                      <w:marTop w:val="0"/>
                      <w:marBottom w:val="0"/>
                      <w:divBdr>
                        <w:top w:val="none" w:sz="0" w:space="0" w:color="auto"/>
                        <w:left w:val="none" w:sz="0" w:space="0" w:color="auto"/>
                        <w:bottom w:val="none" w:sz="0" w:space="0" w:color="auto"/>
                        <w:right w:val="none" w:sz="0" w:space="0" w:color="auto"/>
                      </w:divBdr>
                      <w:divsChild>
                        <w:div w:id="1481383290">
                          <w:marLeft w:val="0"/>
                          <w:marRight w:val="0"/>
                          <w:marTop w:val="0"/>
                          <w:marBottom w:val="0"/>
                          <w:divBdr>
                            <w:top w:val="none" w:sz="0" w:space="0" w:color="auto"/>
                            <w:left w:val="none" w:sz="0" w:space="0" w:color="auto"/>
                            <w:bottom w:val="none" w:sz="0" w:space="0" w:color="auto"/>
                            <w:right w:val="none" w:sz="0" w:space="0" w:color="auto"/>
                          </w:divBdr>
                          <w:divsChild>
                            <w:div w:id="79144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71457">
      <w:bodyDiv w:val="1"/>
      <w:marLeft w:val="0"/>
      <w:marRight w:val="0"/>
      <w:marTop w:val="0"/>
      <w:marBottom w:val="0"/>
      <w:divBdr>
        <w:top w:val="none" w:sz="0" w:space="0" w:color="auto"/>
        <w:left w:val="none" w:sz="0" w:space="0" w:color="auto"/>
        <w:bottom w:val="none" w:sz="0" w:space="0" w:color="auto"/>
        <w:right w:val="none" w:sz="0" w:space="0" w:color="auto"/>
      </w:divBdr>
      <w:divsChild>
        <w:div w:id="692003335">
          <w:marLeft w:val="0"/>
          <w:marRight w:val="0"/>
          <w:marTop w:val="0"/>
          <w:marBottom w:val="0"/>
          <w:divBdr>
            <w:top w:val="none" w:sz="0" w:space="0" w:color="auto"/>
            <w:left w:val="single" w:sz="6" w:space="0" w:color="DDDDDD"/>
            <w:bottom w:val="none" w:sz="0" w:space="0" w:color="auto"/>
            <w:right w:val="none" w:sz="0" w:space="0" w:color="auto"/>
          </w:divBdr>
          <w:divsChild>
            <w:div w:id="656615831">
              <w:marLeft w:val="0"/>
              <w:marRight w:val="0"/>
              <w:marTop w:val="0"/>
              <w:marBottom w:val="0"/>
              <w:divBdr>
                <w:top w:val="single" w:sz="2" w:space="0" w:color="008000"/>
                <w:left w:val="single" w:sz="2" w:space="0" w:color="008000"/>
                <w:bottom w:val="single" w:sz="2" w:space="0" w:color="008000"/>
                <w:right w:val="single" w:sz="2" w:space="0" w:color="008000"/>
              </w:divBdr>
              <w:divsChild>
                <w:div w:id="487095592">
                  <w:marLeft w:val="0"/>
                  <w:marRight w:val="0"/>
                  <w:marTop w:val="0"/>
                  <w:marBottom w:val="0"/>
                  <w:divBdr>
                    <w:top w:val="none" w:sz="0" w:space="0" w:color="auto"/>
                    <w:left w:val="none" w:sz="0" w:space="0" w:color="auto"/>
                    <w:bottom w:val="none" w:sz="0" w:space="0" w:color="auto"/>
                    <w:right w:val="none" w:sz="0" w:space="0" w:color="auto"/>
                  </w:divBdr>
                  <w:divsChild>
                    <w:div w:id="886601854">
                      <w:marLeft w:val="0"/>
                      <w:marRight w:val="0"/>
                      <w:marTop w:val="0"/>
                      <w:marBottom w:val="0"/>
                      <w:divBdr>
                        <w:top w:val="none" w:sz="0" w:space="0" w:color="auto"/>
                        <w:left w:val="none" w:sz="0" w:space="0" w:color="auto"/>
                        <w:bottom w:val="none" w:sz="0" w:space="0" w:color="auto"/>
                        <w:right w:val="none" w:sz="0" w:space="0" w:color="auto"/>
                      </w:divBdr>
                      <w:divsChild>
                        <w:div w:id="1416315883">
                          <w:marLeft w:val="720"/>
                          <w:marRight w:val="720"/>
                          <w:marTop w:val="0"/>
                          <w:marBottom w:val="0"/>
                          <w:divBdr>
                            <w:top w:val="none" w:sz="0" w:space="0" w:color="auto"/>
                            <w:left w:val="none" w:sz="0" w:space="0" w:color="auto"/>
                            <w:bottom w:val="none" w:sz="0" w:space="0" w:color="auto"/>
                            <w:right w:val="none" w:sz="0" w:space="0" w:color="auto"/>
                          </w:divBdr>
                          <w:divsChild>
                            <w:div w:id="22097148">
                              <w:marLeft w:val="0"/>
                              <w:marRight w:val="0"/>
                              <w:marTop w:val="0"/>
                              <w:marBottom w:val="0"/>
                              <w:divBdr>
                                <w:top w:val="none" w:sz="0" w:space="0" w:color="auto"/>
                                <w:left w:val="none" w:sz="0" w:space="0" w:color="auto"/>
                                <w:bottom w:val="none" w:sz="0" w:space="0" w:color="auto"/>
                                <w:right w:val="none" w:sz="0" w:space="0" w:color="auto"/>
                              </w:divBdr>
                              <w:divsChild>
                                <w:div w:id="173955905">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305551164">
      <w:bodyDiv w:val="1"/>
      <w:marLeft w:val="0"/>
      <w:marRight w:val="0"/>
      <w:marTop w:val="0"/>
      <w:marBottom w:val="0"/>
      <w:divBdr>
        <w:top w:val="none" w:sz="0" w:space="0" w:color="auto"/>
        <w:left w:val="none" w:sz="0" w:space="0" w:color="auto"/>
        <w:bottom w:val="none" w:sz="0" w:space="0" w:color="auto"/>
        <w:right w:val="none" w:sz="0" w:space="0" w:color="auto"/>
      </w:divBdr>
      <w:divsChild>
        <w:div w:id="920023415">
          <w:marLeft w:val="0"/>
          <w:marRight w:val="0"/>
          <w:marTop w:val="0"/>
          <w:marBottom w:val="0"/>
          <w:divBdr>
            <w:top w:val="none" w:sz="0" w:space="0" w:color="auto"/>
            <w:left w:val="none" w:sz="0" w:space="0" w:color="auto"/>
            <w:bottom w:val="none" w:sz="0" w:space="0" w:color="auto"/>
            <w:right w:val="none" w:sz="0" w:space="0" w:color="auto"/>
          </w:divBdr>
          <w:divsChild>
            <w:div w:id="1195581814">
              <w:marLeft w:val="0"/>
              <w:marRight w:val="0"/>
              <w:marTop w:val="0"/>
              <w:marBottom w:val="0"/>
              <w:divBdr>
                <w:top w:val="none" w:sz="0" w:space="0" w:color="auto"/>
                <w:left w:val="none" w:sz="0" w:space="0" w:color="auto"/>
                <w:bottom w:val="none" w:sz="0" w:space="0" w:color="auto"/>
                <w:right w:val="none" w:sz="0" w:space="0" w:color="auto"/>
              </w:divBdr>
              <w:divsChild>
                <w:div w:id="403990700">
                  <w:marLeft w:val="0"/>
                  <w:marRight w:val="0"/>
                  <w:marTop w:val="0"/>
                  <w:marBottom w:val="0"/>
                  <w:divBdr>
                    <w:top w:val="none" w:sz="0" w:space="0" w:color="auto"/>
                    <w:left w:val="none" w:sz="0" w:space="0" w:color="auto"/>
                    <w:bottom w:val="none" w:sz="0" w:space="0" w:color="auto"/>
                    <w:right w:val="none" w:sz="0" w:space="0" w:color="auto"/>
                  </w:divBdr>
                  <w:divsChild>
                    <w:div w:id="473914935">
                      <w:marLeft w:val="0"/>
                      <w:marRight w:val="0"/>
                      <w:marTop w:val="0"/>
                      <w:marBottom w:val="0"/>
                      <w:divBdr>
                        <w:top w:val="none" w:sz="0" w:space="0" w:color="auto"/>
                        <w:left w:val="none" w:sz="0" w:space="0" w:color="auto"/>
                        <w:bottom w:val="none" w:sz="0" w:space="0" w:color="auto"/>
                        <w:right w:val="none" w:sz="0" w:space="0" w:color="auto"/>
                      </w:divBdr>
                      <w:divsChild>
                        <w:div w:id="1342203702">
                          <w:marLeft w:val="0"/>
                          <w:marRight w:val="0"/>
                          <w:marTop w:val="0"/>
                          <w:marBottom w:val="0"/>
                          <w:divBdr>
                            <w:top w:val="none" w:sz="0" w:space="0" w:color="auto"/>
                            <w:left w:val="none" w:sz="0" w:space="0" w:color="auto"/>
                            <w:bottom w:val="none" w:sz="0" w:space="0" w:color="auto"/>
                            <w:right w:val="none" w:sz="0" w:space="0" w:color="auto"/>
                          </w:divBdr>
                          <w:divsChild>
                            <w:div w:id="1160777271">
                              <w:marLeft w:val="0"/>
                              <w:marRight w:val="0"/>
                              <w:marTop w:val="0"/>
                              <w:marBottom w:val="0"/>
                              <w:divBdr>
                                <w:top w:val="none" w:sz="0" w:space="0" w:color="auto"/>
                                <w:left w:val="none" w:sz="0" w:space="0" w:color="auto"/>
                                <w:bottom w:val="none" w:sz="0" w:space="0" w:color="auto"/>
                                <w:right w:val="none" w:sz="0" w:space="0" w:color="auto"/>
                              </w:divBdr>
                              <w:divsChild>
                                <w:div w:id="457525595">
                                  <w:marLeft w:val="0"/>
                                  <w:marRight w:val="0"/>
                                  <w:marTop w:val="180"/>
                                  <w:marBottom w:val="0"/>
                                  <w:divBdr>
                                    <w:top w:val="none" w:sz="0" w:space="0" w:color="auto"/>
                                    <w:left w:val="none" w:sz="0" w:space="0" w:color="auto"/>
                                    <w:bottom w:val="none" w:sz="0" w:space="0" w:color="auto"/>
                                    <w:right w:val="none" w:sz="0" w:space="0" w:color="auto"/>
                                  </w:divBdr>
                                  <w:divsChild>
                                    <w:div w:id="707023688">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316224712">
      <w:bodyDiv w:val="1"/>
      <w:marLeft w:val="0"/>
      <w:marRight w:val="0"/>
      <w:marTop w:val="0"/>
      <w:marBottom w:val="0"/>
      <w:divBdr>
        <w:top w:val="none" w:sz="0" w:space="0" w:color="auto"/>
        <w:left w:val="none" w:sz="0" w:space="0" w:color="auto"/>
        <w:bottom w:val="none" w:sz="0" w:space="0" w:color="auto"/>
        <w:right w:val="none" w:sz="0" w:space="0" w:color="auto"/>
      </w:divBdr>
      <w:divsChild>
        <w:div w:id="574323184">
          <w:marLeft w:val="0"/>
          <w:marRight w:val="0"/>
          <w:marTop w:val="0"/>
          <w:marBottom w:val="0"/>
          <w:divBdr>
            <w:top w:val="none" w:sz="0" w:space="0" w:color="auto"/>
            <w:left w:val="none" w:sz="0" w:space="0" w:color="auto"/>
            <w:bottom w:val="none" w:sz="0" w:space="0" w:color="auto"/>
            <w:right w:val="none" w:sz="0" w:space="0" w:color="auto"/>
          </w:divBdr>
          <w:divsChild>
            <w:div w:id="389160199">
              <w:marLeft w:val="0"/>
              <w:marRight w:val="0"/>
              <w:marTop w:val="0"/>
              <w:marBottom w:val="0"/>
              <w:divBdr>
                <w:top w:val="none" w:sz="0" w:space="0" w:color="auto"/>
                <w:left w:val="none" w:sz="0" w:space="0" w:color="auto"/>
                <w:bottom w:val="none" w:sz="0" w:space="0" w:color="auto"/>
                <w:right w:val="none" w:sz="0" w:space="0" w:color="auto"/>
              </w:divBdr>
              <w:divsChild>
                <w:div w:id="709451743">
                  <w:marLeft w:val="0"/>
                  <w:marRight w:val="0"/>
                  <w:marTop w:val="0"/>
                  <w:marBottom w:val="0"/>
                  <w:divBdr>
                    <w:top w:val="none" w:sz="0" w:space="0" w:color="auto"/>
                    <w:left w:val="none" w:sz="0" w:space="0" w:color="auto"/>
                    <w:bottom w:val="none" w:sz="0" w:space="0" w:color="auto"/>
                    <w:right w:val="none" w:sz="0" w:space="0" w:color="auto"/>
                  </w:divBdr>
                  <w:divsChild>
                    <w:div w:id="2105804635">
                      <w:marLeft w:val="0"/>
                      <w:marRight w:val="0"/>
                      <w:marTop w:val="0"/>
                      <w:marBottom w:val="0"/>
                      <w:divBdr>
                        <w:top w:val="none" w:sz="0" w:space="0" w:color="auto"/>
                        <w:left w:val="none" w:sz="0" w:space="0" w:color="auto"/>
                        <w:bottom w:val="none" w:sz="0" w:space="0" w:color="auto"/>
                        <w:right w:val="none" w:sz="0" w:space="0" w:color="auto"/>
                      </w:divBdr>
                      <w:divsChild>
                        <w:div w:id="1108888358">
                          <w:marLeft w:val="0"/>
                          <w:marRight w:val="0"/>
                          <w:marTop w:val="0"/>
                          <w:marBottom w:val="0"/>
                          <w:divBdr>
                            <w:top w:val="none" w:sz="0" w:space="0" w:color="auto"/>
                            <w:left w:val="none" w:sz="0" w:space="0" w:color="auto"/>
                            <w:bottom w:val="none" w:sz="0" w:space="0" w:color="auto"/>
                            <w:right w:val="none" w:sz="0" w:space="0" w:color="auto"/>
                          </w:divBdr>
                          <w:divsChild>
                            <w:div w:id="362945933">
                              <w:marLeft w:val="0"/>
                              <w:marRight w:val="0"/>
                              <w:marTop w:val="0"/>
                              <w:marBottom w:val="0"/>
                              <w:divBdr>
                                <w:top w:val="none" w:sz="0" w:space="0" w:color="auto"/>
                                <w:left w:val="none" w:sz="0" w:space="0" w:color="auto"/>
                                <w:bottom w:val="none" w:sz="0" w:space="0" w:color="auto"/>
                                <w:right w:val="none" w:sz="0" w:space="0" w:color="auto"/>
                              </w:divBdr>
                              <w:divsChild>
                                <w:div w:id="2367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885370">
      <w:bodyDiv w:val="1"/>
      <w:marLeft w:val="0"/>
      <w:marRight w:val="0"/>
      <w:marTop w:val="0"/>
      <w:marBottom w:val="0"/>
      <w:divBdr>
        <w:top w:val="none" w:sz="0" w:space="0" w:color="auto"/>
        <w:left w:val="none" w:sz="0" w:space="0" w:color="auto"/>
        <w:bottom w:val="none" w:sz="0" w:space="0" w:color="auto"/>
        <w:right w:val="none" w:sz="0" w:space="0" w:color="auto"/>
      </w:divBdr>
      <w:divsChild>
        <w:div w:id="102506909">
          <w:marLeft w:val="0"/>
          <w:marRight w:val="0"/>
          <w:marTop w:val="0"/>
          <w:marBottom w:val="0"/>
          <w:divBdr>
            <w:top w:val="none" w:sz="0" w:space="0" w:color="auto"/>
            <w:left w:val="none" w:sz="0" w:space="0" w:color="auto"/>
            <w:bottom w:val="none" w:sz="0" w:space="0" w:color="auto"/>
            <w:right w:val="none" w:sz="0" w:space="0" w:color="auto"/>
          </w:divBdr>
          <w:divsChild>
            <w:div w:id="743137954">
              <w:marLeft w:val="0"/>
              <w:marRight w:val="0"/>
              <w:marTop w:val="0"/>
              <w:marBottom w:val="0"/>
              <w:divBdr>
                <w:top w:val="none" w:sz="0" w:space="0" w:color="auto"/>
                <w:left w:val="none" w:sz="0" w:space="0" w:color="auto"/>
                <w:bottom w:val="none" w:sz="0" w:space="0" w:color="auto"/>
                <w:right w:val="none" w:sz="0" w:space="0" w:color="auto"/>
              </w:divBdr>
              <w:divsChild>
                <w:div w:id="1674529842">
                  <w:marLeft w:val="0"/>
                  <w:marRight w:val="0"/>
                  <w:marTop w:val="0"/>
                  <w:marBottom w:val="0"/>
                  <w:divBdr>
                    <w:top w:val="none" w:sz="0" w:space="0" w:color="auto"/>
                    <w:left w:val="none" w:sz="0" w:space="0" w:color="auto"/>
                    <w:bottom w:val="none" w:sz="0" w:space="0" w:color="auto"/>
                    <w:right w:val="none" w:sz="0" w:space="0" w:color="auto"/>
                  </w:divBdr>
                  <w:divsChild>
                    <w:div w:id="1942058869">
                      <w:marLeft w:val="0"/>
                      <w:marRight w:val="0"/>
                      <w:marTop w:val="0"/>
                      <w:marBottom w:val="0"/>
                      <w:divBdr>
                        <w:top w:val="none" w:sz="0" w:space="0" w:color="auto"/>
                        <w:left w:val="none" w:sz="0" w:space="0" w:color="auto"/>
                        <w:bottom w:val="none" w:sz="0" w:space="0" w:color="auto"/>
                        <w:right w:val="none" w:sz="0" w:space="0" w:color="auto"/>
                      </w:divBdr>
                      <w:divsChild>
                        <w:div w:id="185171956">
                          <w:marLeft w:val="0"/>
                          <w:marRight w:val="0"/>
                          <w:marTop w:val="0"/>
                          <w:marBottom w:val="0"/>
                          <w:divBdr>
                            <w:top w:val="none" w:sz="0" w:space="0" w:color="auto"/>
                            <w:left w:val="none" w:sz="0" w:space="0" w:color="auto"/>
                            <w:bottom w:val="none" w:sz="0" w:space="0" w:color="auto"/>
                            <w:right w:val="none" w:sz="0" w:space="0" w:color="auto"/>
                          </w:divBdr>
                          <w:divsChild>
                            <w:div w:id="1332562085">
                              <w:marLeft w:val="0"/>
                              <w:marRight w:val="0"/>
                              <w:marTop w:val="0"/>
                              <w:marBottom w:val="0"/>
                              <w:divBdr>
                                <w:top w:val="none" w:sz="0" w:space="0" w:color="auto"/>
                                <w:left w:val="none" w:sz="0" w:space="0" w:color="auto"/>
                                <w:bottom w:val="none" w:sz="0" w:space="0" w:color="auto"/>
                                <w:right w:val="none" w:sz="0" w:space="0" w:color="auto"/>
                              </w:divBdr>
                              <w:divsChild>
                                <w:div w:id="48263985">
                                  <w:marLeft w:val="0"/>
                                  <w:marRight w:val="0"/>
                                  <w:marTop w:val="180"/>
                                  <w:marBottom w:val="0"/>
                                  <w:divBdr>
                                    <w:top w:val="none" w:sz="0" w:space="0" w:color="auto"/>
                                    <w:left w:val="none" w:sz="0" w:space="0" w:color="auto"/>
                                    <w:bottom w:val="none" w:sz="0" w:space="0" w:color="auto"/>
                                    <w:right w:val="none" w:sz="0" w:space="0" w:color="auto"/>
                                  </w:divBdr>
                                  <w:divsChild>
                                    <w:div w:id="492063983">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567350540">
      <w:bodyDiv w:val="1"/>
      <w:marLeft w:val="390"/>
      <w:marRight w:val="390"/>
      <w:marTop w:val="0"/>
      <w:marBottom w:val="0"/>
      <w:divBdr>
        <w:top w:val="none" w:sz="0" w:space="0" w:color="auto"/>
        <w:left w:val="none" w:sz="0" w:space="0" w:color="auto"/>
        <w:bottom w:val="none" w:sz="0" w:space="0" w:color="auto"/>
        <w:right w:val="none" w:sz="0" w:space="0" w:color="auto"/>
      </w:divBdr>
    </w:div>
    <w:div w:id="570777311">
      <w:bodyDiv w:val="1"/>
      <w:marLeft w:val="0"/>
      <w:marRight w:val="0"/>
      <w:marTop w:val="0"/>
      <w:marBottom w:val="0"/>
      <w:divBdr>
        <w:top w:val="none" w:sz="0" w:space="0" w:color="auto"/>
        <w:left w:val="none" w:sz="0" w:space="0" w:color="auto"/>
        <w:bottom w:val="none" w:sz="0" w:space="0" w:color="auto"/>
        <w:right w:val="none" w:sz="0" w:space="0" w:color="auto"/>
      </w:divBdr>
      <w:divsChild>
        <w:div w:id="186338670">
          <w:marLeft w:val="0"/>
          <w:marRight w:val="0"/>
          <w:marTop w:val="0"/>
          <w:marBottom w:val="0"/>
          <w:divBdr>
            <w:top w:val="none" w:sz="0" w:space="0" w:color="auto"/>
            <w:left w:val="none" w:sz="0" w:space="0" w:color="auto"/>
            <w:bottom w:val="none" w:sz="0" w:space="0" w:color="auto"/>
            <w:right w:val="none" w:sz="0" w:space="0" w:color="auto"/>
          </w:divBdr>
          <w:divsChild>
            <w:div w:id="1918899842">
              <w:marLeft w:val="0"/>
              <w:marRight w:val="0"/>
              <w:marTop w:val="0"/>
              <w:marBottom w:val="0"/>
              <w:divBdr>
                <w:top w:val="none" w:sz="0" w:space="0" w:color="auto"/>
                <w:left w:val="none" w:sz="0" w:space="0" w:color="auto"/>
                <w:bottom w:val="none" w:sz="0" w:space="0" w:color="auto"/>
                <w:right w:val="none" w:sz="0" w:space="0" w:color="auto"/>
              </w:divBdr>
              <w:divsChild>
                <w:div w:id="79721686">
                  <w:marLeft w:val="0"/>
                  <w:marRight w:val="0"/>
                  <w:marTop w:val="0"/>
                  <w:marBottom w:val="0"/>
                  <w:divBdr>
                    <w:top w:val="none" w:sz="0" w:space="0" w:color="auto"/>
                    <w:left w:val="none" w:sz="0" w:space="0" w:color="auto"/>
                    <w:bottom w:val="none" w:sz="0" w:space="0" w:color="auto"/>
                    <w:right w:val="none" w:sz="0" w:space="0" w:color="auto"/>
                  </w:divBdr>
                  <w:divsChild>
                    <w:div w:id="78908901">
                      <w:marLeft w:val="0"/>
                      <w:marRight w:val="0"/>
                      <w:marTop w:val="0"/>
                      <w:marBottom w:val="0"/>
                      <w:divBdr>
                        <w:top w:val="none" w:sz="0" w:space="0" w:color="auto"/>
                        <w:left w:val="none" w:sz="0" w:space="0" w:color="auto"/>
                        <w:bottom w:val="none" w:sz="0" w:space="0" w:color="auto"/>
                        <w:right w:val="none" w:sz="0" w:space="0" w:color="auto"/>
                      </w:divBdr>
                      <w:divsChild>
                        <w:div w:id="657348084">
                          <w:marLeft w:val="0"/>
                          <w:marRight w:val="0"/>
                          <w:marTop w:val="0"/>
                          <w:marBottom w:val="0"/>
                          <w:divBdr>
                            <w:top w:val="none" w:sz="0" w:space="0" w:color="auto"/>
                            <w:left w:val="none" w:sz="0" w:space="0" w:color="auto"/>
                            <w:bottom w:val="none" w:sz="0" w:space="0" w:color="auto"/>
                            <w:right w:val="none" w:sz="0" w:space="0" w:color="auto"/>
                          </w:divBdr>
                          <w:divsChild>
                            <w:div w:id="553156031">
                              <w:marLeft w:val="0"/>
                              <w:marRight w:val="0"/>
                              <w:marTop w:val="0"/>
                              <w:marBottom w:val="0"/>
                              <w:divBdr>
                                <w:top w:val="none" w:sz="0" w:space="0" w:color="auto"/>
                                <w:left w:val="none" w:sz="0" w:space="0" w:color="auto"/>
                                <w:bottom w:val="none" w:sz="0" w:space="0" w:color="auto"/>
                                <w:right w:val="none" w:sz="0" w:space="0" w:color="auto"/>
                              </w:divBdr>
                              <w:divsChild>
                                <w:div w:id="843937921">
                                  <w:marLeft w:val="0"/>
                                  <w:marRight w:val="0"/>
                                  <w:marTop w:val="180"/>
                                  <w:marBottom w:val="0"/>
                                  <w:divBdr>
                                    <w:top w:val="none" w:sz="0" w:space="0" w:color="auto"/>
                                    <w:left w:val="none" w:sz="0" w:space="0" w:color="auto"/>
                                    <w:bottom w:val="none" w:sz="0" w:space="0" w:color="auto"/>
                                    <w:right w:val="none" w:sz="0" w:space="0" w:color="auto"/>
                                  </w:divBdr>
                                  <w:divsChild>
                                    <w:div w:id="1824157695">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645353999">
      <w:bodyDiv w:val="1"/>
      <w:marLeft w:val="390"/>
      <w:marRight w:val="390"/>
      <w:marTop w:val="0"/>
      <w:marBottom w:val="0"/>
      <w:divBdr>
        <w:top w:val="none" w:sz="0" w:space="0" w:color="auto"/>
        <w:left w:val="none" w:sz="0" w:space="0" w:color="auto"/>
        <w:bottom w:val="none" w:sz="0" w:space="0" w:color="auto"/>
        <w:right w:val="none" w:sz="0" w:space="0" w:color="auto"/>
      </w:divBdr>
    </w:div>
    <w:div w:id="681055326">
      <w:bodyDiv w:val="1"/>
      <w:marLeft w:val="0"/>
      <w:marRight w:val="0"/>
      <w:marTop w:val="0"/>
      <w:marBottom w:val="0"/>
      <w:divBdr>
        <w:top w:val="none" w:sz="0" w:space="0" w:color="auto"/>
        <w:left w:val="none" w:sz="0" w:space="0" w:color="auto"/>
        <w:bottom w:val="none" w:sz="0" w:space="0" w:color="auto"/>
        <w:right w:val="none" w:sz="0" w:space="0" w:color="auto"/>
      </w:divBdr>
      <w:divsChild>
        <w:div w:id="1656105251">
          <w:marLeft w:val="0"/>
          <w:marRight w:val="0"/>
          <w:marTop w:val="0"/>
          <w:marBottom w:val="0"/>
          <w:divBdr>
            <w:top w:val="none" w:sz="0" w:space="0" w:color="auto"/>
            <w:left w:val="none" w:sz="0" w:space="0" w:color="auto"/>
            <w:bottom w:val="none" w:sz="0" w:space="0" w:color="auto"/>
            <w:right w:val="none" w:sz="0" w:space="0" w:color="auto"/>
          </w:divBdr>
          <w:divsChild>
            <w:div w:id="1606377718">
              <w:marLeft w:val="0"/>
              <w:marRight w:val="0"/>
              <w:marTop w:val="0"/>
              <w:marBottom w:val="0"/>
              <w:divBdr>
                <w:top w:val="none" w:sz="0" w:space="0" w:color="auto"/>
                <w:left w:val="none" w:sz="0" w:space="0" w:color="auto"/>
                <w:bottom w:val="none" w:sz="0" w:space="0" w:color="auto"/>
                <w:right w:val="none" w:sz="0" w:space="0" w:color="auto"/>
              </w:divBdr>
              <w:divsChild>
                <w:div w:id="782378586">
                  <w:marLeft w:val="0"/>
                  <w:marRight w:val="0"/>
                  <w:marTop w:val="0"/>
                  <w:marBottom w:val="0"/>
                  <w:divBdr>
                    <w:top w:val="none" w:sz="0" w:space="0" w:color="auto"/>
                    <w:left w:val="none" w:sz="0" w:space="0" w:color="auto"/>
                    <w:bottom w:val="none" w:sz="0" w:space="0" w:color="auto"/>
                    <w:right w:val="none" w:sz="0" w:space="0" w:color="auto"/>
                  </w:divBdr>
                  <w:divsChild>
                    <w:div w:id="2076077972">
                      <w:marLeft w:val="0"/>
                      <w:marRight w:val="0"/>
                      <w:marTop w:val="0"/>
                      <w:marBottom w:val="0"/>
                      <w:divBdr>
                        <w:top w:val="none" w:sz="0" w:space="0" w:color="auto"/>
                        <w:left w:val="none" w:sz="0" w:space="0" w:color="auto"/>
                        <w:bottom w:val="none" w:sz="0" w:space="0" w:color="auto"/>
                        <w:right w:val="none" w:sz="0" w:space="0" w:color="auto"/>
                      </w:divBdr>
                      <w:divsChild>
                        <w:div w:id="950086702">
                          <w:marLeft w:val="0"/>
                          <w:marRight w:val="0"/>
                          <w:marTop w:val="0"/>
                          <w:marBottom w:val="0"/>
                          <w:divBdr>
                            <w:top w:val="none" w:sz="0" w:space="0" w:color="auto"/>
                            <w:left w:val="none" w:sz="0" w:space="0" w:color="auto"/>
                            <w:bottom w:val="none" w:sz="0" w:space="0" w:color="auto"/>
                            <w:right w:val="none" w:sz="0" w:space="0" w:color="auto"/>
                          </w:divBdr>
                          <w:divsChild>
                            <w:div w:id="1779450929">
                              <w:marLeft w:val="0"/>
                              <w:marRight w:val="0"/>
                              <w:marTop w:val="0"/>
                              <w:marBottom w:val="0"/>
                              <w:divBdr>
                                <w:top w:val="none" w:sz="0" w:space="0" w:color="auto"/>
                                <w:left w:val="none" w:sz="0" w:space="0" w:color="auto"/>
                                <w:bottom w:val="none" w:sz="0" w:space="0" w:color="auto"/>
                                <w:right w:val="none" w:sz="0" w:space="0" w:color="auto"/>
                              </w:divBdr>
                              <w:divsChild>
                                <w:div w:id="1276206486">
                                  <w:marLeft w:val="0"/>
                                  <w:marRight w:val="0"/>
                                  <w:marTop w:val="180"/>
                                  <w:marBottom w:val="0"/>
                                  <w:divBdr>
                                    <w:top w:val="none" w:sz="0" w:space="0" w:color="auto"/>
                                    <w:left w:val="none" w:sz="0" w:space="0" w:color="auto"/>
                                    <w:bottom w:val="none" w:sz="0" w:space="0" w:color="auto"/>
                                    <w:right w:val="none" w:sz="0" w:space="0" w:color="auto"/>
                                  </w:divBdr>
                                  <w:divsChild>
                                    <w:div w:id="579677442">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771125245">
      <w:bodyDiv w:val="1"/>
      <w:marLeft w:val="0"/>
      <w:marRight w:val="0"/>
      <w:marTop w:val="0"/>
      <w:marBottom w:val="0"/>
      <w:divBdr>
        <w:top w:val="none" w:sz="0" w:space="0" w:color="auto"/>
        <w:left w:val="none" w:sz="0" w:space="0" w:color="auto"/>
        <w:bottom w:val="none" w:sz="0" w:space="0" w:color="auto"/>
        <w:right w:val="none" w:sz="0" w:space="0" w:color="auto"/>
      </w:divBdr>
      <w:divsChild>
        <w:div w:id="1208681920">
          <w:marLeft w:val="0"/>
          <w:marRight w:val="0"/>
          <w:marTop w:val="0"/>
          <w:marBottom w:val="0"/>
          <w:divBdr>
            <w:top w:val="none" w:sz="0" w:space="0" w:color="auto"/>
            <w:left w:val="single" w:sz="6" w:space="0" w:color="DDDDDD"/>
            <w:bottom w:val="none" w:sz="0" w:space="0" w:color="auto"/>
            <w:right w:val="none" w:sz="0" w:space="0" w:color="auto"/>
          </w:divBdr>
          <w:divsChild>
            <w:div w:id="2071076718">
              <w:marLeft w:val="0"/>
              <w:marRight w:val="0"/>
              <w:marTop w:val="0"/>
              <w:marBottom w:val="0"/>
              <w:divBdr>
                <w:top w:val="single" w:sz="2" w:space="0" w:color="008000"/>
                <w:left w:val="single" w:sz="2" w:space="0" w:color="008000"/>
                <w:bottom w:val="single" w:sz="2" w:space="0" w:color="008000"/>
                <w:right w:val="single" w:sz="2" w:space="0" w:color="008000"/>
              </w:divBdr>
              <w:divsChild>
                <w:div w:id="1587883234">
                  <w:marLeft w:val="0"/>
                  <w:marRight w:val="0"/>
                  <w:marTop w:val="0"/>
                  <w:marBottom w:val="0"/>
                  <w:divBdr>
                    <w:top w:val="none" w:sz="0" w:space="0" w:color="auto"/>
                    <w:left w:val="none" w:sz="0" w:space="0" w:color="auto"/>
                    <w:bottom w:val="none" w:sz="0" w:space="0" w:color="auto"/>
                    <w:right w:val="none" w:sz="0" w:space="0" w:color="auto"/>
                  </w:divBdr>
                  <w:divsChild>
                    <w:div w:id="309402261">
                      <w:marLeft w:val="0"/>
                      <w:marRight w:val="0"/>
                      <w:marTop w:val="0"/>
                      <w:marBottom w:val="0"/>
                      <w:divBdr>
                        <w:top w:val="none" w:sz="0" w:space="0" w:color="auto"/>
                        <w:left w:val="none" w:sz="0" w:space="0" w:color="auto"/>
                        <w:bottom w:val="none" w:sz="0" w:space="0" w:color="auto"/>
                        <w:right w:val="none" w:sz="0" w:space="0" w:color="auto"/>
                      </w:divBdr>
                      <w:divsChild>
                        <w:div w:id="384990808">
                          <w:marLeft w:val="720"/>
                          <w:marRight w:val="720"/>
                          <w:marTop w:val="0"/>
                          <w:marBottom w:val="0"/>
                          <w:divBdr>
                            <w:top w:val="none" w:sz="0" w:space="0" w:color="auto"/>
                            <w:left w:val="none" w:sz="0" w:space="0" w:color="auto"/>
                            <w:bottom w:val="none" w:sz="0" w:space="0" w:color="auto"/>
                            <w:right w:val="none" w:sz="0" w:space="0" w:color="auto"/>
                          </w:divBdr>
                          <w:divsChild>
                            <w:div w:id="133451935">
                              <w:marLeft w:val="0"/>
                              <w:marRight w:val="0"/>
                              <w:marTop w:val="0"/>
                              <w:marBottom w:val="0"/>
                              <w:divBdr>
                                <w:top w:val="none" w:sz="0" w:space="0" w:color="auto"/>
                                <w:left w:val="none" w:sz="0" w:space="0" w:color="auto"/>
                                <w:bottom w:val="none" w:sz="0" w:space="0" w:color="auto"/>
                                <w:right w:val="none" w:sz="0" w:space="0" w:color="auto"/>
                              </w:divBdr>
                              <w:divsChild>
                                <w:div w:id="458963632">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865482460">
      <w:bodyDiv w:val="1"/>
      <w:marLeft w:val="0"/>
      <w:marRight w:val="0"/>
      <w:marTop w:val="0"/>
      <w:marBottom w:val="0"/>
      <w:divBdr>
        <w:top w:val="none" w:sz="0" w:space="0" w:color="auto"/>
        <w:left w:val="none" w:sz="0" w:space="0" w:color="auto"/>
        <w:bottom w:val="none" w:sz="0" w:space="0" w:color="auto"/>
        <w:right w:val="none" w:sz="0" w:space="0" w:color="auto"/>
      </w:divBdr>
      <w:divsChild>
        <w:div w:id="1196505106">
          <w:marLeft w:val="0"/>
          <w:marRight w:val="0"/>
          <w:marTop w:val="0"/>
          <w:marBottom w:val="0"/>
          <w:divBdr>
            <w:top w:val="none" w:sz="0" w:space="0" w:color="auto"/>
            <w:left w:val="none" w:sz="0" w:space="0" w:color="auto"/>
            <w:bottom w:val="none" w:sz="0" w:space="0" w:color="auto"/>
            <w:right w:val="none" w:sz="0" w:space="0" w:color="auto"/>
          </w:divBdr>
          <w:divsChild>
            <w:div w:id="330260245">
              <w:marLeft w:val="0"/>
              <w:marRight w:val="0"/>
              <w:marTop w:val="0"/>
              <w:marBottom w:val="0"/>
              <w:divBdr>
                <w:top w:val="none" w:sz="0" w:space="0" w:color="auto"/>
                <w:left w:val="none" w:sz="0" w:space="0" w:color="auto"/>
                <w:bottom w:val="none" w:sz="0" w:space="0" w:color="auto"/>
                <w:right w:val="none" w:sz="0" w:space="0" w:color="auto"/>
              </w:divBdr>
              <w:divsChild>
                <w:div w:id="1854342442">
                  <w:marLeft w:val="0"/>
                  <w:marRight w:val="0"/>
                  <w:marTop w:val="0"/>
                  <w:marBottom w:val="0"/>
                  <w:divBdr>
                    <w:top w:val="none" w:sz="0" w:space="0" w:color="auto"/>
                    <w:left w:val="none" w:sz="0" w:space="0" w:color="auto"/>
                    <w:bottom w:val="none" w:sz="0" w:space="0" w:color="auto"/>
                    <w:right w:val="none" w:sz="0" w:space="0" w:color="auto"/>
                  </w:divBdr>
                  <w:divsChild>
                    <w:div w:id="1703819184">
                      <w:marLeft w:val="0"/>
                      <w:marRight w:val="0"/>
                      <w:marTop w:val="0"/>
                      <w:marBottom w:val="0"/>
                      <w:divBdr>
                        <w:top w:val="none" w:sz="0" w:space="0" w:color="auto"/>
                        <w:left w:val="none" w:sz="0" w:space="0" w:color="auto"/>
                        <w:bottom w:val="none" w:sz="0" w:space="0" w:color="auto"/>
                        <w:right w:val="none" w:sz="0" w:space="0" w:color="auto"/>
                      </w:divBdr>
                      <w:divsChild>
                        <w:div w:id="550385600">
                          <w:marLeft w:val="0"/>
                          <w:marRight w:val="0"/>
                          <w:marTop w:val="0"/>
                          <w:marBottom w:val="0"/>
                          <w:divBdr>
                            <w:top w:val="none" w:sz="0" w:space="0" w:color="auto"/>
                            <w:left w:val="none" w:sz="0" w:space="0" w:color="auto"/>
                            <w:bottom w:val="none" w:sz="0" w:space="0" w:color="auto"/>
                            <w:right w:val="none" w:sz="0" w:space="0" w:color="auto"/>
                          </w:divBdr>
                          <w:divsChild>
                            <w:div w:id="321471567">
                              <w:marLeft w:val="0"/>
                              <w:marRight w:val="0"/>
                              <w:marTop w:val="0"/>
                              <w:marBottom w:val="0"/>
                              <w:divBdr>
                                <w:top w:val="none" w:sz="0" w:space="0" w:color="auto"/>
                                <w:left w:val="none" w:sz="0" w:space="0" w:color="auto"/>
                                <w:bottom w:val="none" w:sz="0" w:space="0" w:color="auto"/>
                                <w:right w:val="none" w:sz="0" w:space="0" w:color="auto"/>
                              </w:divBdr>
                              <w:divsChild>
                                <w:div w:id="7547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037380">
      <w:bodyDiv w:val="1"/>
      <w:marLeft w:val="0"/>
      <w:marRight w:val="0"/>
      <w:marTop w:val="0"/>
      <w:marBottom w:val="0"/>
      <w:divBdr>
        <w:top w:val="none" w:sz="0" w:space="0" w:color="auto"/>
        <w:left w:val="none" w:sz="0" w:space="0" w:color="auto"/>
        <w:bottom w:val="none" w:sz="0" w:space="0" w:color="auto"/>
        <w:right w:val="none" w:sz="0" w:space="0" w:color="auto"/>
      </w:divBdr>
      <w:divsChild>
        <w:div w:id="995576171">
          <w:marLeft w:val="0"/>
          <w:marRight w:val="0"/>
          <w:marTop w:val="0"/>
          <w:marBottom w:val="0"/>
          <w:divBdr>
            <w:top w:val="none" w:sz="0" w:space="0" w:color="auto"/>
            <w:left w:val="none" w:sz="0" w:space="0" w:color="auto"/>
            <w:bottom w:val="none" w:sz="0" w:space="0" w:color="auto"/>
            <w:right w:val="none" w:sz="0" w:space="0" w:color="auto"/>
          </w:divBdr>
          <w:divsChild>
            <w:div w:id="703795713">
              <w:marLeft w:val="0"/>
              <w:marRight w:val="0"/>
              <w:marTop w:val="0"/>
              <w:marBottom w:val="0"/>
              <w:divBdr>
                <w:top w:val="none" w:sz="0" w:space="0" w:color="auto"/>
                <w:left w:val="none" w:sz="0" w:space="0" w:color="auto"/>
                <w:bottom w:val="none" w:sz="0" w:space="0" w:color="auto"/>
                <w:right w:val="none" w:sz="0" w:space="0" w:color="auto"/>
              </w:divBdr>
              <w:divsChild>
                <w:div w:id="1097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5697">
      <w:bodyDiv w:val="1"/>
      <w:marLeft w:val="0"/>
      <w:marRight w:val="0"/>
      <w:marTop w:val="0"/>
      <w:marBottom w:val="0"/>
      <w:divBdr>
        <w:top w:val="none" w:sz="0" w:space="0" w:color="auto"/>
        <w:left w:val="none" w:sz="0" w:space="0" w:color="auto"/>
        <w:bottom w:val="none" w:sz="0" w:space="0" w:color="auto"/>
        <w:right w:val="none" w:sz="0" w:space="0" w:color="auto"/>
      </w:divBdr>
      <w:divsChild>
        <w:div w:id="153380652">
          <w:marLeft w:val="0"/>
          <w:marRight w:val="0"/>
          <w:marTop w:val="0"/>
          <w:marBottom w:val="0"/>
          <w:divBdr>
            <w:top w:val="none" w:sz="0" w:space="0" w:color="auto"/>
            <w:left w:val="none" w:sz="0" w:space="0" w:color="auto"/>
            <w:bottom w:val="none" w:sz="0" w:space="0" w:color="auto"/>
            <w:right w:val="none" w:sz="0" w:space="0" w:color="auto"/>
          </w:divBdr>
          <w:divsChild>
            <w:div w:id="2073693795">
              <w:marLeft w:val="0"/>
              <w:marRight w:val="0"/>
              <w:marTop w:val="0"/>
              <w:marBottom w:val="0"/>
              <w:divBdr>
                <w:top w:val="none" w:sz="0" w:space="0" w:color="auto"/>
                <w:left w:val="none" w:sz="0" w:space="0" w:color="auto"/>
                <w:bottom w:val="none" w:sz="0" w:space="0" w:color="auto"/>
                <w:right w:val="none" w:sz="0" w:space="0" w:color="auto"/>
              </w:divBdr>
              <w:divsChild>
                <w:div w:id="682632958">
                  <w:marLeft w:val="0"/>
                  <w:marRight w:val="0"/>
                  <w:marTop w:val="0"/>
                  <w:marBottom w:val="0"/>
                  <w:divBdr>
                    <w:top w:val="none" w:sz="0" w:space="0" w:color="auto"/>
                    <w:left w:val="none" w:sz="0" w:space="0" w:color="auto"/>
                    <w:bottom w:val="none" w:sz="0" w:space="0" w:color="auto"/>
                    <w:right w:val="none" w:sz="0" w:space="0" w:color="auto"/>
                  </w:divBdr>
                  <w:divsChild>
                    <w:div w:id="15678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713321">
      <w:bodyDiv w:val="1"/>
      <w:marLeft w:val="0"/>
      <w:marRight w:val="0"/>
      <w:marTop w:val="0"/>
      <w:marBottom w:val="0"/>
      <w:divBdr>
        <w:top w:val="none" w:sz="0" w:space="0" w:color="auto"/>
        <w:left w:val="none" w:sz="0" w:space="0" w:color="auto"/>
        <w:bottom w:val="none" w:sz="0" w:space="0" w:color="auto"/>
        <w:right w:val="none" w:sz="0" w:space="0" w:color="auto"/>
      </w:divBdr>
    </w:div>
    <w:div w:id="992099362">
      <w:bodyDiv w:val="1"/>
      <w:marLeft w:val="0"/>
      <w:marRight w:val="0"/>
      <w:marTop w:val="0"/>
      <w:marBottom w:val="0"/>
      <w:divBdr>
        <w:top w:val="none" w:sz="0" w:space="0" w:color="auto"/>
        <w:left w:val="none" w:sz="0" w:space="0" w:color="auto"/>
        <w:bottom w:val="none" w:sz="0" w:space="0" w:color="auto"/>
        <w:right w:val="none" w:sz="0" w:space="0" w:color="auto"/>
      </w:divBdr>
      <w:divsChild>
        <w:div w:id="1999650732">
          <w:marLeft w:val="0"/>
          <w:marRight w:val="0"/>
          <w:marTop w:val="0"/>
          <w:marBottom w:val="0"/>
          <w:divBdr>
            <w:top w:val="none" w:sz="0" w:space="0" w:color="auto"/>
            <w:left w:val="none" w:sz="0" w:space="0" w:color="auto"/>
            <w:bottom w:val="none" w:sz="0" w:space="0" w:color="auto"/>
            <w:right w:val="none" w:sz="0" w:space="0" w:color="auto"/>
          </w:divBdr>
          <w:divsChild>
            <w:div w:id="481237671">
              <w:marLeft w:val="0"/>
              <w:marRight w:val="0"/>
              <w:marTop w:val="0"/>
              <w:marBottom w:val="0"/>
              <w:divBdr>
                <w:top w:val="none" w:sz="0" w:space="0" w:color="auto"/>
                <w:left w:val="none" w:sz="0" w:space="0" w:color="auto"/>
                <w:bottom w:val="none" w:sz="0" w:space="0" w:color="auto"/>
                <w:right w:val="none" w:sz="0" w:space="0" w:color="auto"/>
              </w:divBdr>
              <w:divsChild>
                <w:div w:id="1675381002">
                  <w:marLeft w:val="0"/>
                  <w:marRight w:val="0"/>
                  <w:marTop w:val="0"/>
                  <w:marBottom w:val="0"/>
                  <w:divBdr>
                    <w:top w:val="none" w:sz="0" w:space="0" w:color="auto"/>
                    <w:left w:val="none" w:sz="0" w:space="0" w:color="auto"/>
                    <w:bottom w:val="none" w:sz="0" w:space="0" w:color="auto"/>
                    <w:right w:val="none" w:sz="0" w:space="0" w:color="auto"/>
                  </w:divBdr>
                  <w:divsChild>
                    <w:div w:id="1280917788">
                      <w:marLeft w:val="0"/>
                      <w:marRight w:val="0"/>
                      <w:marTop w:val="0"/>
                      <w:marBottom w:val="0"/>
                      <w:divBdr>
                        <w:top w:val="none" w:sz="0" w:space="0" w:color="auto"/>
                        <w:left w:val="none" w:sz="0" w:space="0" w:color="auto"/>
                        <w:bottom w:val="none" w:sz="0" w:space="0" w:color="auto"/>
                        <w:right w:val="none" w:sz="0" w:space="0" w:color="auto"/>
                      </w:divBdr>
                      <w:divsChild>
                        <w:div w:id="976033519">
                          <w:marLeft w:val="0"/>
                          <w:marRight w:val="0"/>
                          <w:marTop w:val="0"/>
                          <w:marBottom w:val="0"/>
                          <w:divBdr>
                            <w:top w:val="none" w:sz="0" w:space="0" w:color="auto"/>
                            <w:left w:val="none" w:sz="0" w:space="0" w:color="auto"/>
                            <w:bottom w:val="none" w:sz="0" w:space="0" w:color="auto"/>
                            <w:right w:val="none" w:sz="0" w:space="0" w:color="auto"/>
                          </w:divBdr>
                          <w:divsChild>
                            <w:div w:id="1453591030">
                              <w:marLeft w:val="0"/>
                              <w:marRight w:val="0"/>
                              <w:marTop w:val="0"/>
                              <w:marBottom w:val="0"/>
                              <w:divBdr>
                                <w:top w:val="none" w:sz="0" w:space="0" w:color="auto"/>
                                <w:left w:val="none" w:sz="0" w:space="0" w:color="auto"/>
                                <w:bottom w:val="none" w:sz="0" w:space="0" w:color="auto"/>
                                <w:right w:val="none" w:sz="0" w:space="0" w:color="auto"/>
                              </w:divBdr>
                              <w:divsChild>
                                <w:div w:id="208684910">
                                  <w:marLeft w:val="0"/>
                                  <w:marRight w:val="0"/>
                                  <w:marTop w:val="180"/>
                                  <w:marBottom w:val="0"/>
                                  <w:divBdr>
                                    <w:top w:val="none" w:sz="0" w:space="0" w:color="auto"/>
                                    <w:left w:val="none" w:sz="0" w:space="0" w:color="auto"/>
                                    <w:bottom w:val="none" w:sz="0" w:space="0" w:color="auto"/>
                                    <w:right w:val="none" w:sz="0" w:space="0" w:color="auto"/>
                                  </w:divBdr>
                                  <w:divsChild>
                                    <w:div w:id="809515289">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994064827">
      <w:bodyDiv w:val="1"/>
      <w:marLeft w:val="0"/>
      <w:marRight w:val="0"/>
      <w:marTop w:val="0"/>
      <w:marBottom w:val="0"/>
      <w:divBdr>
        <w:top w:val="none" w:sz="0" w:space="0" w:color="auto"/>
        <w:left w:val="none" w:sz="0" w:space="0" w:color="auto"/>
        <w:bottom w:val="none" w:sz="0" w:space="0" w:color="auto"/>
        <w:right w:val="none" w:sz="0" w:space="0" w:color="auto"/>
      </w:divBdr>
      <w:divsChild>
        <w:div w:id="1088038653">
          <w:marLeft w:val="0"/>
          <w:marRight w:val="0"/>
          <w:marTop w:val="0"/>
          <w:marBottom w:val="0"/>
          <w:divBdr>
            <w:top w:val="none" w:sz="0" w:space="0" w:color="auto"/>
            <w:left w:val="single" w:sz="6" w:space="0" w:color="DDDDDD"/>
            <w:bottom w:val="none" w:sz="0" w:space="0" w:color="auto"/>
            <w:right w:val="none" w:sz="0" w:space="0" w:color="auto"/>
          </w:divBdr>
          <w:divsChild>
            <w:div w:id="406152611">
              <w:marLeft w:val="0"/>
              <w:marRight w:val="0"/>
              <w:marTop w:val="0"/>
              <w:marBottom w:val="0"/>
              <w:divBdr>
                <w:top w:val="single" w:sz="2" w:space="0" w:color="008000"/>
                <w:left w:val="single" w:sz="2" w:space="0" w:color="008000"/>
                <w:bottom w:val="single" w:sz="2" w:space="0" w:color="008000"/>
                <w:right w:val="single" w:sz="2" w:space="0" w:color="008000"/>
              </w:divBdr>
              <w:divsChild>
                <w:div w:id="1116287927">
                  <w:marLeft w:val="0"/>
                  <w:marRight w:val="0"/>
                  <w:marTop w:val="0"/>
                  <w:marBottom w:val="0"/>
                  <w:divBdr>
                    <w:top w:val="none" w:sz="0" w:space="0" w:color="auto"/>
                    <w:left w:val="none" w:sz="0" w:space="0" w:color="auto"/>
                    <w:bottom w:val="none" w:sz="0" w:space="0" w:color="auto"/>
                    <w:right w:val="none" w:sz="0" w:space="0" w:color="auto"/>
                  </w:divBdr>
                  <w:divsChild>
                    <w:div w:id="1663505711">
                      <w:marLeft w:val="0"/>
                      <w:marRight w:val="0"/>
                      <w:marTop w:val="0"/>
                      <w:marBottom w:val="0"/>
                      <w:divBdr>
                        <w:top w:val="none" w:sz="0" w:space="0" w:color="auto"/>
                        <w:left w:val="none" w:sz="0" w:space="0" w:color="auto"/>
                        <w:bottom w:val="none" w:sz="0" w:space="0" w:color="auto"/>
                        <w:right w:val="none" w:sz="0" w:space="0" w:color="auto"/>
                      </w:divBdr>
                      <w:divsChild>
                        <w:div w:id="1194152565">
                          <w:marLeft w:val="720"/>
                          <w:marRight w:val="720"/>
                          <w:marTop w:val="0"/>
                          <w:marBottom w:val="0"/>
                          <w:divBdr>
                            <w:top w:val="none" w:sz="0" w:space="0" w:color="auto"/>
                            <w:left w:val="none" w:sz="0" w:space="0" w:color="auto"/>
                            <w:bottom w:val="none" w:sz="0" w:space="0" w:color="auto"/>
                            <w:right w:val="none" w:sz="0" w:space="0" w:color="auto"/>
                          </w:divBdr>
                          <w:divsChild>
                            <w:div w:id="1038581420">
                              <w:marLeft w:val="0"/>
                              <w:marRight w:val="0"/>
                              <w:marTop w:val="0"/>
                              <w:marBottom w:val="0"/>
                              <w:divBdr>
                                <w:top w:val="none" w:sz="0" w:space="0" w:color="auto"/>
                                <w:left w:val="none" w:sz="0" w:space="0" w:color="auto"/>
                                <w:bottom w:val="none" w:sz="0" w:space="0" w:color="auto"/>
                                <w:right w:val="none" w:sz="0" w:space="0" w:color="auto"/>
                              </w:divBdr>
                              <w:divsChild>
                                <w:div w:id="812868783">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1038893292">
      <w:bodyDiv w:val="1"/>
      <w:marLeft w:val="0"/>
      <w:marRight w:val="0"/>
      <w:marTop w:val="0"/>
      <w:marBottom w:val="0"/>
      <w:divBdr>
        <w:top w:val="none" w:sz="0" w:space="0" w:color="auto"/>
        <w:left w:val="none" w:sz="0" w:space="0" w:color="auto"/>
        <w:bottom w:val="none" w:sz="0" w:space="0" w:color="auto"/>
        <w:right w:val="none" w:sz="0" w:space="0" w:color="auto"/>
      </w:divBdr>
      <w:divsChild>
        <w:div w:id="1440760998">
          <w:marLeft w:val="0"/>
          <w:marRight w:val="0"/>
          <w:marTop w:val="0"/>
          <w:marBottom w:val="0"/>
          <w:divBdr>
            <w:top w:val="none" w:sz="0" w:space="0" w:color="auto"/>
            <w:left w:val="none" w:sz="0" w:space="0" w:color="auto"/>
            <w:bottom w:val="none" w:sz="0" w:space="0" w:color="auto"/>
            <w:right w:val="none" w:sz="0" w:space="0" w:color="auto"/>
          </w:divBdr>
          <w:divsChild>
            <w:div w:id="1727798576">
              <w:marLeft w:val="0"/>
              <w:marRight w:val="0"/>
              <w:marTop w:val="0"/>
              <w:marBottom w:val="0"/>
              <w:divBdr>
                <w:top w:val="none" w:sz="0" w:space="0" w:color="auto"/>
                <w:left w:val="none" w:sz="0" w:space="0" w:color="auto"/>
                <w:bottom w:val="none" w:sz="0" w:space="0" w:color="auto"/>
                <w:right w:val="none" w:sz="0" w:space="0" w:color="auto"/>
              </w:divBdr>
              <w:divsChild>
                <w:div w:id="2008510608">
                  <w:marLeft w:val="0"/>
                  <w:marRight w:val="0"/>
                  <w:marTop w:val="0"/>
                  <w:marBottom w:val="0"/>
                  <w:divBdr>
                    <w:top w:val="none" w:sz="0" w:space="0" w:color="auto"/>
                    <w:left w:val="none" w:sz="0" w:space="0" w:color="auto"/>
                    <w:bottom w:val="none" w:sz="0" w:space="0" w:color="auto"/>
                    <w:right w:val="none" w:sz="0" w:space="0" w:color="auto"/>
                  </w:divBdr>
                  <w:divsChild>
                    <w:div w:id="19339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93060">
      <w:bodyDiv w:val="1"/>
      <w:marLeft w:val="0"/>
      <w:marRight w:val="0"/>
      <w:marTop w:val="0"/>
      <w:marBottom w:val="0"/>
      <w:divBdr>
        <w:top w:val="none" w:sz="0" w:space="0" w:color="auto"/>
        <w:left w:val="none" w:sz="0" w:space="0" w:color="auto"/>
        <w:bottom w:val="none" w:sz="0" w:space="0" w:color="auto"/>
        <w:right w:val="none" w:sz="0" w:space="0" w:color="auto"/>
      </w:divBdr>
      <w:divsChild>
        <w:div w:id="1136726182">
          <w:marLeft w:val="0"/>
          <w:marRight w:val="0"/>
          <w:marTop w:val="0"/>
          <w:marBottom w:val="0"/>
          <w:divBdr>
            <w:top w:val="none" w:sz="0" w:space="0" w:color="auto"/>
            <w:left w:val="none" w:sz="0" w:space="0" w:color="auto"/>
            <w:bottom w:val="none" w:sz="0" w:space="0" w:color="auto"/>
            <w:right w:val="none" w:sz="0" w:space="0" w:color="auto"/>
          </w:divBdr>
          <w:divsChild>
            <w:div w:id="397943642">
              <w:marLeft w:val="0"/>
              <w:marRight w:val="0"/>
              <w:marTop w:val="0"/>
              <w:marBottom w:val="0"/>
              <w:divBdr>
                <w:top w:val="none" w:sz="0" w:space="0" w:color="auto"/>
                <w:left w:val="none" w:sz="0" w:space="0" w:color="auto"/>
                <w:bottom w:val="none" w:sz="0" w:space="0" w:color="auto"/>
                <w:right w:val="none" w:sz="0" w:space="0" w:color="auto"/>
              </w:divBdr>
              <w:divsChild>
                <w:div w:id="1019041308">
                  <w:marLeft w:val="0"/>
                  <w:marRight w:val="0"/>
                  <w:marTop w:val="0"/>
                  <w:marBottom w:val="0"/>
                  <w:divBdr>
                    <w:top w:val="none" w:sz="0" w:space="0" w:color="auto"/>
                    <w:left w:val="none" w:sz="0" w:space="0" w:color="auto"/>
                    <w:bottom w:val="none" w:sz="0" w:space="0" w:color="auto"/>
                    <w:right w:val="none" w:sz="0" w:space="0" w:color="auto"/>
                  </w:divBdr>
                  <w:divsChild>
                    <w:div w:id="2086758806">
                      <w:marLeft w:val="0"/>
                      <w:marRight w:val="0"/>
                      <w:marTop w:val="0"/>
                      <w:marBottom w:val="0"/>
                      <w:divBdr>
                        <w:top w:val="none" w:sz="0" w:space="0" w:color="auto"/>
                        <w:left w:val="none" w:sz="0" w:space="0" w:color="auto"/>
                        <w:bottom w:val="none" w:sz="0" w:space="0" w:color="auto"/>
                        <w:right w:val="none" w:sz="0" w:space="0" w:color="auto"/>
                      </w:divBdr>
                      <w:divsChild>
                        <w:div w:id="19001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851553">
      <w:bodyDiv w:val="1"/>
      <w:marLeft w:val="0"/>
      <w:marRight w:val="0"/>
      <w:marTop w:val="0"/>
      <w:marBottom w:val="0"/>
      <w:divBdr>
        <w:top w:val="none" w:sz="0" w:space="0" w:color="auto"/>
        <w:left w:val="none" w:sz="0" w:space="0" w:color="auto"/>
        <w:bottom w:val="none" w:sz="0" w:space="0" w:color="auto"/>
        <w:right w:val="none" w:sz="0" w:space="0" w:color="auto"/>
      </w:divBdr>
    </w:div>
    <w:div w:id="1160853814">
      <w:bodyDiv w:val="1"/>
      <w:marLeft w:val="0"/>
      <w:marRight w:val="0"/>
      <w:marTop w:val="0"/>
      <w:marBottom w:val="0"/>
      <w:divBdr>
        <w:top w:val="none" w:sz="0" w:space="0" w:color="auto"/>
        <w:left w:val="none" w:sz="0" w:space="0" w:color="auto"/>
        <w:bottom w:val="none" w:sz="0" w:space="0" w:color="auto"/>
        <w:right w:val="none" w:sz="0" w:space="0" w:color="auto"/>
      </w:divBdr>
      <w:divsChild>
        <w:div w:id="599223792">
          <w:marLeft w:val="0"/>
          <w:marRight w:val="0"/>
          <w:marTop w:val="0"/>
          <w:marBottom w:val="0"/>
          <w:divBdr>
            <w:top w:val="none" w:sz="0" w:space="0" w:color="auto"/>
            <w:left w:val="none" w:sz="0" w:space="0" w:color="auto"/>
            <w:bottom w:val="none" w:sz="0" w:space="0" w:color="auto"/>
            <w:right w:val="none" w:sz="0" w:space="0" w:color="auto"/>
          </w:divBdr>
          <w:divsChild>
            <w:div w:id="2061174608">
              <w:marLeft w:val="0"/>
              <w:marRight w:val="0"/>
              <w:marTop w:val="0"/>
              <w:marBottom w:val="0"/>
              <w:divBdr>
                <w:top w:val="none" w:sz="0" w:space="0" w:color="auto"/>
                <w:left w:val="none" w:sz="0" w:space="0" w:color="auto"/>
                <w:bottom w:val="none" w:sz="0" w:space="0" w:color="auto"/>
                <w:right w:val="none" w:sz="0" w:space="0" w:color="auto"/>
              </w:divBdr>
              <w:divsChild>
                <w:div w:id="2133014859">
                  <w:marLeft w:val="0"/>
                  <w:marRight w:val="0"/>
                  <w:marTop w:val="0"/>
                  <w:marBottom w:val="0"/>
                  <w:divBdr>
                    <w:top w:val="none" w:sz="0" w:space="0" w:color="auto"/>
                    <w:left w:val="none" w:sz="0" w:space="0" w:color="auto"/>
                    <w:bottom w:val="none" w:sz="0" w:space="0" w:color="auto"/>
                    <w:right w:val="none" w:sz="0" w:space="0" w:color="auto"/>
                  </w:divBdr>
                  <w:divsChild>
                    <w:div w:id="392849659">
                      <w:marLeft w:val="1"/>
                      <w:marRight w:val="1"/>
                      <w:marTop w:val="0"/>
                      <w:marBottom w:val="0"/>
                      <w:divBdr>
                        <w:top w:val="none" w:sz="0" w:space="0" w:color="auto"/>
                        <w:left w:val="none" w:sz="0" w:space="0" w:color="auto"/>
                        <w:bottom w:val="none" w:sz="0" w:space="0" w:color="auto"/>
                        <w:right w:val="none" w:sz="0" w:space="0" w:color="auto"/>
                      </w:divBdr>
                      <w:divsChild>
                        <w:div w:id="920481724">
                          <w:marLeft w:val="0"/>
                          <w:marRight w:val="0"/>
                          <w:marTop w:val="0"/>
                          <w:marBottom w:val="0"/>
                          <w:divBdr>
                            <w:top w:val="none" w:sz="0" w:space="0" w:color="auto"/>
                            <w:left w:val="none" w:sz="0" w:space="0" w:color="auto"/>
                            <w:bottom w:val="none" w:sz="0" w:space="0" w:color="auto"/>
                            <w:right w:val="none" w:sz="0" w:space="0" w:color="auto"/>
                          </w:divBdr>
                          <w:divsChild>
                            <w:div w:id="1198618203">
                              <w:marLeft w:val="0"/>
                              <w:marRight w:val="0"/>
                              <w:marTop w:val="0"/>
                              <w:marBottom w:val="360"/>
                              <w:divBdr>
                                <w:top w:val="none" w:sz="0" w:space="0" w:color="auto"/>
                                <w:left w:val="none" w:sz="0" w:space="0" w:color="auto"/>
                                <w:bottom w:val="none" w:sz="0" w:space="0" w:color="auto"/>
                                <w:right w:val="none" w:sz="0" w:space="0" w:color="auto"/>
                              </w:divBdr>
                              <w:divsChild>
                                <w:div w:id="1975987659">
                                  <w:marLeft w:val="0"/>
                                  <w:marRight w:val="0"/>
                                  <w:marTop w:val="0"/>
                                  <w:marBottom w:val="0"/>
                                  <w:divBdr>
                                    <w:top w:val="none" w:sz="0" w:space="0" w:color="auto"/>
                                    <w:left w:val="none" w:sz="0" w:space="0" w:color="auto"/>
                                    <w:bottom w:val="none" w:sz="0" w:space="0" w:color="auto"/>
                                    <w:right w:val="none" w:sz="0" w:space="0" w:color="auto"/>
                                  </w:divBdr>
                                  <w:divsChild>
                                    <w:div w:id="15333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206230">
      <w:bodyDiv w:val="1"/>
      <w:marLeft w:val="0"/>
      <w:marRight w:val="0"/>
      <w:marTop w:val="0"/>
      <w:marBottom w:val="0"/>
      <w:divBdr>
        <w:top w:val="none" w:sz="0" w:space="0" w:color="auto"/>
        <w:left w:val="none" w:sz="0" w:space="0" w:color="auto"/>
        <w:bottom w:val="none" w:sz="0" w:space="0" w:color="auto"/>
        <w:right w:val="none" w:sz="0" w:space="0" w:color="auto"/>
      </w:divBdr>
      <w:divsChild>
        <w:div w:id="323170986">
          <w:marLeft w:val="0"/>
          <w:marRight w:val="0"/>
          <w:marTop w:val="0"/>
          <w:marBottom w:val="0"/>
          <w:divBdr>
            <w:top w:val="none" w:sz="0" w:space="0" w:color="auto"/>
            <w:left w:val="none" w:sz="0" w:space="0" w:color="auto"/>
            <w:bottom w:val="none" w:sz="0" w:space="0" w:color="auto"/>
            <w:right w:val="none" w:sz="0" w:space="0" w:color="auto"/>
          </w:divBdr>
          <w:divsChild>
            <w:div w:id="2074961424">
              <w:marLeft w:val="0"/>
              <w:marRight w:val="0"/>
              <w:marTop w:val="0"/>
              <w:marBottom w:val="0"/>
              <w:divBdr>
                <w:top w:val="none" w:sz="0" w:space="0" w:color="auto"/>
                <w:left w:val="none" w:sz="0" w:space="0" w:color="auto"/>
                <w:bottom w:val="none" w:sz="0" w:space="0" w:color="auto"/>
                <w:right w:val="none" w:sz="0" w:space="0" w:color="auto"/>
              </w:divBdr>
              <w:divsChild>
                <w:div w:id="738216368">
                  <w:marLeft w:val="0"/>
                  <w:marRight w:val="0"/>
                  <w:marTop w:val="0"/>
                  <w:marBottom w:val="0"/>
                  <w:divBdr>
                    <w:top w:val="none" w:sz="0" w:space="0" w:color="auto"/>
                    <w:left w:val="none" w:sz="0" w:space="0" w:color="auto"/>
                    <w:bottom w:val="none" w:sz="0" w:space="0" w:color="auto"/>
                    <w:right w:val="none" w:sz="0" w:space="0" w:color="auto"/>
                  </w:divBdr>
                  <w:divsChild>
                    <w:div w:id="1358968130">
                      <w:marLeft w:val="0"/>
                      <w:marRight w:val="0"/>
                      <w:marTop w:val="0"/>
                      <w:marBottom w:val="0"/>
                      <w:divBdr>
                        <w:top w:val="none" w:sz="0" w:space="0" w:color="auto"/>
                        <w:left w:val="none" w:sz="0" w:space="0" w:color="auto"/>
                        <w:bottom w:val="none" w:sz="0" w:space="0" w:color="auto"/>
                        <w:right w:val="none" w:sz="0" w:space="0" w:color="auto"/>
                      </w:divBdr>
                      <w:divsChild>
                        <w:div w:id="179532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880047">
      <w:bodyDiv w:val="1"/>
      <w:marLeft w:val="0"/>
      <w:marRight w:val="0"/>
      <w:marTop w:val="0"/>
      <w:marBottom w:val="0"/>
      <w:divBdr>
        <w:top w:val="none" w:sz="0" w:space="0" w:color="auto"/>
        <w:left w:val="none" w:sz="0" w:space="0" w:color="auto"/>
        <w:bottom w:val="none" w:sz="0" w:space="0" w:color="auto"/>
        <w:right w:val="none" w:sz="0" w:space="0" w:color="auto"/>
      </w:divBdr>
      <w:divsChild>
        <w:div w:id="2065785181">
          <w:marLeft w:val="0"/>
          <w:marRight w:val="0"/>
          <w:marTop w:val="0"/>
          <w:marBottom w:val="0"/>
          <w:divBdr>
            <w:top w:val="none" w:sz="0" w:space="0" w:color="auto"/>
            <w:left w:val="none" w:sz="0" w:space="0" w:color="auto"/>
            <w:bottom w:val="none" w:sz="0" w:space="0" w:color="auto"/>
            <w:right w:val="none" w:sz="0" w:space="0" w:color="auto"/>
          </w:divBdr>
          <w:divsChild>
            <w:div w:id="743257582">
              <w:marLeft w:val="0"/>
              <w:marRight w:val="0"/>
              <w:marTop w:val="0"/>
              <w:marBottom w:val="0"/>
              <w:divBdr>
                <w:top w:val="none" w:sz="0" w:space="0" w:color="auto"/>
                <w:left w:val="none" w:sz="0" w:space="0" w:color="auto"/>
                <w:bottom w:val="none" w:sz="0" w:space="0" w:color="auto"/>
                <w:right w:val="none" w:sz="0" w:space="0" w:color="auto"/>
              </w:divBdr>
              <w:divsChild>
                <w:div w:id="1251624572">
                  <w:marLeft w:val="0"/>
                  <w:marRight w:val="0"/>
                  <w:marTop w:val="0"/>
                  <w:marBottom w:val="0"/>
                  <w:divBdr>
                    <w:top w:val="none" w:sz="0" w:space="0" w:color="auto"/>
                    <w:left w:val="none" w:sz="0" w:space="0" w:color="auto"/>
                    <w:bottom w:val="none" w:sz="0" w:space="0" w:color="auto"/>
                    <w:right w:val="none" w:sz="0" w:space="0" w:color="auto"/>
                  </w:divBdr>
                  <w:divsChild>
                    <w:div w:id="2008632741">
                      <w:marLeft w:val="0"/>
                      <w:marRight w:val="0"/>
                      <w:marTop w:val="0"/>
                      <w:marBottom w:val="0"/>
                      <w:divBdr>
                        <w:top w:val="none" w:sz="0" w:space="0" w:color="auto"/>
                        <w:left w:val="none" w:sz="0" w:space="0" w:color="auto"/>
                        <w:bottom w:val="none" w:sz="0" w:space="0" w:color="auto"/>
                        <w:right w:val="none" w:sz="0" w:space="0" w:color="auto"/>
                      </w:divBdr>
                      <w:divsChild>
                        <w:div w:id="787316274">
                          <w:marLeft w:val="0"/>
                          <w:marRight w:val="0"/>
                          <w:marTop w:val="0"/>
                          <w:marBottom w:val="0"/>
                          <w:divBdr>
                            <w:top w:val="none" w:sz="0" w:space="0" w:color="auto"/>
                            <w:left w:val="none" w:sz="0" w:space="0" w:color="auto"/>
                            <w:bottom w:val="none" w:sz="0" w:space="0" w:color="auto"/>
                            <w:right w:val="none" w:sz="0" w:space="0" w:color="auto"/>
                          </w:divBdr>
                          <w:divsChild>
                            <w:div w:id="15812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098263">
      <w:bodyDiv w:val="1"/>
      <w:marLeft w:val="0"/>
      <w:marRight w:val="0"/>
      <w:marTop w:val="0"/>
      <w:marBottom w:val="0"/>
      <w:divBdr>
        <w:top w:val="none" w:sz="0" w:space="0" w:color="auto"/>
        <w:left w:val="none" w:sz="0" w:space="0" w:color="auto"/>
        <w:bottom w:val="none" w:sz="0" w:space="0" w:color="auto"/>
        <w:right w:val="none" w:sz="0" w:space="0" w:color="auto"/>
      </w:divBdr>
      <w:divsChild>
        <w:div w:id="1399597074">
          <w:marLeft w:val="0"/>
          <w:marRight w:val="0"/>
          <w:marTop w:val="0"/>
          <w:marBottom w:val="0"/>
          <w:divBdr>
            <w:top w:val="none" w:sz="0" w:space="0" w:color="auto"/>
            <w:left w:val="single" w:sz="6" w:space="0" w:color="DDDDDD"/>
            <w:bottom w:val="none" w:sz="0" w:space="0" w:color="auto"/>
            <w:right w:val="none" w:sz="0" w:space="0" w:color="auto"/>
          </w:divBdr>
          <w:divsChild>
            <w:div w:id="1637876942">
              <w:marLeft w:val="0"/>
              <w:marRight w:val="0"/>
              <w:marTop w:val="0"/>
              <w:marBottom w:val="0"/>
              <w:divBdr>
                <w:top w:val="single" w:sz="2" w:space="0" w:color="008000"/>
                <w:left w:val="single" w:sz="2" w:space="0" w:color="008000"/>
                <w:bottom w:val="single" w:sz="2" w:space="0" w:color="008000"/>
                <w:right w:val="single" w:sz="2" w:space="0" w:color="008000"/>
              </w:divBdr>
              <w:divsChild>
                <w:div w:id="959189676">
                  <w:marLeft w:val="0"/>
                  <w:marRight w:val="0"/>
                  <w:marTop w:val="0"/>
                  <w:marBottom w:val="0"/>
                  <w:divBdr>
                    <w:top w:val="none" w:sz="0" w:space="0" w:color="auto"/>
                    <w:left w:val="none" w:sz="0" w:space="0" w:color="auto"/>
                    <w:bottom w:val="none" w:sz="0" w:space="0" w:color="auto"/>
                    <w:right w:val="none" w:sz="0" w:space="0" w:color="auto"/>
                  </w:divBdr>
                  <w:divsChild>
                    <w:div w:id="1036269980">
                      <w:marLeft w:val="0"/>
                      <w:marRight w:val="0"/>
                      <w:marTop w:val="0"/>
                      <w:marBottom w:val="0"/>
                      <w:divBdr>
                        <w:top w:val="none" w:sz="0" w:space="0" w:color="auto"/>
                        <w:left w:val="none" w:sz="0" w:space="0" w:color="auto"/>
                        <w:bottom w:val="none" w:sz="0" w:space="0" w:color="auto"/>
                        <w:right w:val="none" w:sz="0" w:space="0" w:color="auto"/>
                      </w:divBdr>
                      <w:divsChild>
                        <w:div w:id="595792946">
                          <w:marLeft w:val="720"/>
                          <w:marRight w:val="720"/>
                          <w:marTop w:val="0"/>
                          <w:marBottom w:val="0"/>
                          <w:divBdr>
                            <w:top w:val="none" w:sz="0" w:space="0" w:color="auto"/>
                            <w:left w:val="none" w:sz="0" w:space="0" w:color="auto"/>
                            <w:bottom w:val="none" w:sz="0" w:space="0" w:color="auto"/>
                            <w:right w:val="none" w:sz="0" w:space="0" w:color="auto"/>
                          </w:divBdr>
                          <w:divsChild>
                            <w:div w:id="191965041">
                              <w:marLeft w:val="0"/>
                              <w:marRight w:val="0"/>
                              <w:marTop w:val="0"/>
                              <w:marBottom w:val="0"/>
                              <w:divBdr>
                                <w:top w:val="none" w:sz="0" w:space="0" w:color="auto"/>
                                <w:left w:val="none" w:sz="0" w:space="0" w:color="auto"/>
                                <w:bottom w:val="none" w:sz="0" w:space="0" w:color="auto"/>
                                <w:right w:val="none" w:sz="0" w:space="0" w:color="auto"/>
                              </w:divBdr>
                              <w:divsChild>
                                <w:div w:id="1225792998">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1366520945">
      <w:bodyDiv w:val="1"/>
      <w:marLeft w:val="0"/>
      <w:marRight w:val="0"/>
      <w:marTop w:val="0"/>
      <w:marBottom w:val="0"/>
      <w:divBdr>
        <w:top w:val="none" w:sz="0" w:space="0" w:color="auto"/>
        <w:left w:val="none" w:sz="0" w:space="0" w:color="auto"/>
        <w:bottom w:val="none" w:sz="0" w:space="0" w:color="auto"/>
        <w:right w:val="none" w:sz="0" w:space="0" w:color="auto"/>
      </w:divBdr>
      <w:divsChild>
        <w:div w:id="1864392859">
          <w:marLeft w:val="0"/>
          <w:marRight w:val="0"/>
          <w:marTop w:val="0"/>
          <w:marBottom w:val="0"/>
          <w:divBdr>
            <w:top w:val="none" w:sz="0" w:space="0" w:color="auto"/>
            <w:left w:val="none" w:sz="0" w:space="0" w:color="auto"/>
            <w:bottom w:val="none" w:sz="0" w:space="0" w:color="auto"/>
            <w:right w:val="none" w:sz="0" w:space="0" w:color="auto"/>
          </w:divBdr>
          <w:divsChild>
            <w:div w:id="12268844">
              <w:marLeft w:val="0"/>
              <w:marRight w:val="0"/>
              <w:marTop w:val="0"/>
              <w:marBottom w:val="0"/>
              <w:divBdr>
                <w:top w:val="none" w:sz="0" w:space="0" w:color="auto"/>
                <w:left w:val="none" w:sz="0" w:space="0" w:color="auto"/>
                <w:bottom w:val="none" w:sz="0" w:space="0" w:color="auto"/>
                <w:right w:val="none" w:sz="0" w:space="0" w:color="auto"/>
              </w:divBdr>
              <w:divsChild>
                <w:div w:id="1862208539">
                  <w:marLeft w:val="0"/>
                  <w:marRight w:val="0"/>
                  <w:marTop w:val="0"/>
                  <w:marBottom w:val="0"/>
                  <w:divBdr>
                    <w:top w:val="none" w:sz="0" w:space="0" w:color="auto"/>
                    <w:left w:val="none" w:sz="0" w:space="0" w:color="auto"/>
                    <w:bottom w:val="none" w:sz="0" w:space="0" w:color="auto"/>
                    <w:right w:val="none" w:sz="0" w:space="0" w:color="auto"/>
                  </w:divBdr>
                  <w:divsChild>
                    <w:div w:id="2035225481">
                      <w:marLeft w:val="0"/>
                      <w:marRight w:val="0"/>
                      <w:marTop w:val="0"/>
                      <w:marBottom w:val="0"/>
                      <w:divBdr>
                        <w:top w:val="none" w:sz="0" w:space="0" w:color="auto"/>
                        <w:left w:val="none" w:sz="0" w:space="0" w:color="auto"/>
                        <w:bottom w:val="none" w:sz="0" w:space="0" w:color="auto"/>
                        <w:right w:val="none" w:sz="0" w:space="0" w:color="auto"/>
                      </w:divBdr>
                      <w:divsChild>
                        <w:div w:id="1201822242">
                          <w:marLeft w:val="0"/>
                          <w:marRight w:val="0"/>
                          <w:marTop w:val="0"/>
                          <w:marBottom w:val="0"/>
                          <w:divBdr>
                            <w:top w:val="none" w:sz="0" w:space="0" w:color="auto"/>
                            <w:left w:val="none" w:sz="0" w:space="0" w:color="auto"/>
                            <w:bottom w:val="none" w:sz="0" w:space="0" w:color="auto"/>
                            <w:right w:val="none" w:sz="0" w:space="0" w:color="auto"/>
                          </w:divBdr>
                          <w:divsChild>
                            <w:div w:id="1542866414">
                              <w:marLeft w:val="0"/>
                              <w:marRight w:val="0"/>
                              <w:marTop w:val="0"/>
                              <w:marBottom w:val="0"/>
                              <w:divBdr>
                                <w:top w:val="none" w:sz="0" w:space="0" w:color="auto"/>
                                <w:left w:val="none" w:sz="0" w:space="0" w:color="auto"/>
                                <w:bottom w:val="none" w:sz="0" w:space="0" w:color="auto"/>
                                <w:right w:val="none" w:sz="0" w:space="0" w:color="auto"/>
                              </w:divBdr>
                              <w:divsChild>
                                <w:div w:id="434405067">
                                  <w:marLeft w:val="0"/>
                                  <w:marRight w:val="0"/>
                                  <w:marTop w:val="180"/>
                                  <w:marBottom w:val="0"/>
                                  <w:divBdr>
                                    <w:top w:val="none" w:sz="0" w:space="0" w:color="auto"/>
                                    <w:left w:val="none" w:sz="0" w:space="0" w:color="auto"/>
                                    <w:bottom w:val="none" w:sz="0" w:space="0" w:color="auto"/>
                                    <w:right w:val="none" w:sz="0" w:space="0" w:color="auto"/>
                                  </w:divBdr>
                                  <w:divsChild>
                                    <w:div w:id="1052071145">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1377117784">
      <w:bodyDiv w:val="1"/>
      <w:marLeft w:val="0"/>
      <w:marRight w:val="0"/>
      <w:marTop w:val="0"/>
      <w:marBottom w:val="0"/>
      <w:divBdr>
        <w:top w:val="none" w:sz="0" w:space="0" w:color="auto"/>
        <w:left w:val="none" w:sz="0" w:space="0" w:color="auto"/>
        <w:bottom w:val="none" w:sz="0" w:space="0" w:color="auto"/>
        <w:right w:val="none" w:sz="0" w:space="0" w:color="auto"/>
      </w:divBdr>
      <w:divsChild>
        <w:div w:id="2087070552">
          <w:marLeft w:val="0"/>
          <w:marRight w:val="0"/>
          <w:marTop w:val="0"/>
          <w:marBottom w:val="0"/>
          <w:divBdr>
            <w:top w:val="none" w:sz="0" w:space="0" w:color="auto"/>
            <w:left w:val="none" w:sz="0" w:space="0" w:color="auto"/>
            <w:bottom w:val="none" w:sz="0" w:space="0" w:color="auto"/>
            <w:right w:val="none" w:sz="0" w:space="0" w:color="auto"/>
          </w:divBdr>
          <w:divsChild>
            <w:div w:id="519201579">
              <w:marLeft w:val="0"/>
              <w:marRight w:val="0"/>
              <w:marTop w:val="0"/>
              <w:marBottom w:val="0"/>
              <w:divBdr>
                <w:top w:val="none" w:sz="0" w:space="0" w:color="auto"/>
                <w:left w:val="none" w:sz="0" w:space="0" w:color="auto"/>
                <w:bottom w:val="none" w:sz="0" w:space="0" w:color="auto"/>
                <w:right w:val="none" w:sz="0" w:space="0" w:color="auto"/>
              </w:divBdr>
              <w:divsChild>
                <w:div w:id="471098022">
                  <w:marLeft w:val="0"/>
                  <w:marRight w:val="0"/>
                  <w:marTop w:val="0"/>
                  <w:marBottom w:val="0"/>
                  <w:divBdr>
                    <w:top w:val="none" w:sz="0" w:space="0" w:color="auto"/>
                    <w:left w:val="none" w:sz="0" w:space="0" w:color="auto"/>
                    <w:bottom w:val="none" w:sz="0" w:space="0" w:color="auto"/>
                    <w:right w:val="none" w:sz="0" w:space="0" w:color="auto"/>
                  </w:divBdr>
                  <w:divsChild>
                    <w:div w:id="1458797190">
                      <w:marLeft w:val="0"/>
                      <w:marRight w:val="0"/>
                      <w:marTop w:val="0"/>
                      <w:marBottom w:val="0"/>
                      <w:divBdr>
                        <w:top w:val="none" w:sz="0" w:space="0" w:color="auto"/>
                        <w:left w:val="none" w:sz="0" w:space="0" w:color="auto"/>
                        <w:bottom w:val="none" w:sz="0" w:space="0" w:color="auto"/>
                        <w:right w:val="none" w:sz="0" w:space="0" w:color="auto"/>
                      </w:divBdr>
                      <w:divsChild>
                        <w:div w:id="1753354243">
                          <w:marLeft w:val="0"/>
                          <w:marRight w:val="0"/>
                          <w:marTop w:val="0"/>
                          <w:marBottom w:val="0"/>
                          <w:divBdr>
                            <w:top w:val="none" w:sz="0" w:space="0" w:color="auto"/>
                            <w:left w:val="none" w:sz="0" w:space="0" w:color="auto"/>
                            <w:bottom w:val="none" w:sz="0" w:space="0" w:color="auto"/>
                            <w:right w:val="none" w:sz="0" w:space="0" w:color="auto"/>
                          </w:divBdr>
                          <w:divsChild>
                            <w:div w:id="861167182">
                              <w:marLeft w:val="0"/>
                              <w:marRight w:val="0"/>
                              <w:marTop w:val="0"/>
                              <w:marBottom w:val="0"/>
                              <w:divBdr>
                                <w:top w:val="none" w:sz="0" w:space="0" w:color="auto"/>
                                <w:left w:val="none" w:sz="0" w:space="0" w:color="auto"/>
                                <w:bottom w:val="none" w:sz="0" w:space="0" w:color="auto"/>
                                <w:right w:val="none" w:sz="0" w:space="0" w:color="auto"/>
                              </w:divBdr>
                              <w:divsChild>
                                <w:div w:id="1174225606">
                                  <w:marLeft w:val="0"/>
                                  <w:marRight w:val="0"/>
                                  <w:marTop w:val="180"/>
                                  <w:marBottom w:val="0"/>
                                  <w:divBdr>
                                    <w:top w:val="none" w:sz="0" w:space="0" w:color="auto"/>
                                    <w:left w:val="none" w:sz="0" w:space="0" w:color="auto"/>
                                    <w:bottom w:val="none" w:sz="0" w:space="0" w:color="auto"/>
                                    <w:right w:val="none" w:sz="0" w:space="0" w:color="auto"/>
                                  </w:divBdr>
                                  <w:divsChild>
                                    <w:div w:id="577446926">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1510755225">
      <w:bodyDiv w:val="1"/>
      <w:marLeft w:val="0"/>
      <w:marRight w:val="0"/>
      <w:marTop w:val="0"/>
      <w:marBottom w:val="0"/>
      <w:divBdr>
        <w:top w:val="none" w:sz="0" w:space="0" w:color="auto"/>
        <w:left w:val="none" w:sz="0" w:space="0" w:color="auto"/>
        <w:bottom w:val="none" w:sz="0" w:space="0" w:color="auto"/>
        <w:right w:val="none" w:sz="0" w:space="0" w:color="auto"/>
      </w:divBdr>
      <w:divsChild>
        <w:div w:id="908006287">
          <w:marLeft w:val="0"/>
          <w:marRight w:val="0"/>
          <w:marTop w:val="0"/>
          <w:marBottom w:val="0"/>
          <w:divBdr>
            <w:top w:val="none" w:sz="0" w:space="0" w:color="auto"/>
            <w:left w:val="none" w:sz="0" w:space="0" w:color="auto"/>
            <w:bottom w:val="none" w:sz="0" w:space="0" w:color="auto"/>
            <w:right w:val="none" w:sz="0" w:space="0" w:color="auto"/>
          </w:divBdr>
          <w:divsChild>
            <w:div w:id="182088997">
              <w:marLeft w:val="0"/>
              <w:marRight w:val="0"/>
              <w:marTop w:val="0"/>
              <w:marBottom w:val="0"/>
              <w:divBdr>
                <w:top w:val="none" w:sz="0" w:space="0" w:color="auto"/>
                <w:left w:val="none" w:sz="0" w:space="0" w:color="auto"/>
                <w:bottom w:val="none" w:sz="0" w:space="0" w:color="auto"/>
                <w:right w:val="none" w:sz="0" w:space="0" w:color="auto"/>
              </w:divBdr>
              <w:divsChild>
                <w:div w:id="1337196901">
                  <w:marLeft w:val="0"/>
                  <w:marRight w:val="0"/>
                  <w:marTop w:val="0"/>
                  <w:marBottom w:val="0"/>
                  <w:divBdr>
                    <w:top w:val="none" w:sz="0" w:space="0" w:color="auto"/>
                    <w:left w:val="none" w:sz="0" w:space="0" w:color="auto"/>
                    <w:bottom w:val="none" w:sz="0" w:space="0" w:color="auto"/>
                    <w:right w:val="none" w:sz="0" w:space="0" w:color="auto"/>
                  </w:divBdr>
                  <w:divsChild>
                    <w:div w:id="1668560712">
                      <w:marLeft w:val="0"/>
                      <w:marRight w:val="0"/>
                      <w:marTop w:val="0"/>
                      <w:marBottom w:val="0"/>
                      <w:divBdr>
                        <w:top w:val="none" w:sz="0" w:space="0" w:color="auto"/>
                        <w:left w:val="none" w:sz="0" w:space="0" w:color="auto"/>
                        <w:bottom w:val="none" w:sz="0" w:space="0" w:color="auto"/>
                        <w:right w:val="none" w:sz="0" w:space="0" w:color="auto"/>
                      </w:divBdr>
                      <w:divsChild>
                        <w:div w:id="1493911459">
                          <w:marLeft w:val="0"/>
                          <w:marRight w:val="0"/>
                          <w:marTop w:val="0"/>
                          <w:marBottom w:val="0"/>
                          <w:divBdr>
                            <w:top w:val="none" w:sz="0" w:space="0" w:color="auto"/>
                            <w:left w:val="none" w:sz="0" w:space="0" w:color="auto"/>
                            <w:bottom w:val="none" w:sz="0" w:space="0" w:color="auto"/>
                            <w:right w:val="none" w:sz="0" w:space="0" w:color="auto"/>
                          </w:divBdr>
                          <w:divsChild>
                            <w:div w:id="842088648">
                              <w:marLeft w:val="0"/>
                              <w:marRight w:val="0"/>
                              <w:marTop w:val="0"/>
                              <w:marBottom w:val="0"/>
                              <w:divBdr>
                                <w:top w:val="none" w:sz="0" w:space="0" w:color="auto"/>
                                <w:left w:val="none" w:sz="0" w:space="0" w:color="auto"/>
                                <w:bottom w:val="none" w:sz="0" w:space="0" w:color="auto"/>
                                <w:right w:val="none" w:sz="0" w:space="0" w:color="auto"/>
                              </w:divBdr>
                              <w:divsChild>
                                <w:div w:id="1295713328">
                                  <w:marLeft w:val="0"/>
                                  <w:marRight w:val="0"/>
                                  <w:marTop w:val="180"/>
                                  <w:marBottom w:val="0"/>
                                  <w:divBdr>
                                    <w:top w:val="none" w:sz="0" w:space="0" w:color="auto"/>
                                    <w:left w:val="none" w:sz="0" w:space="0" w:color="auto"/>
                                    <w:bottom w:val="none" w:sz="0" w:space="0" w:color="auto"/>
                                    <w:right w:val="none" w:sz="0" w:space="0" w:color="auto"/>
                                  </w:divBdr>
                                  <w:divsChild>
                                    <w:div w:id="1787891521">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1528641496">
      <w:bodyDiv w:val="1"/>
      <w:marLeft w:val="0"/>
      <w:marRight w:val="0"/>
      <w:marTop w:val="0"/>
      <w:marBottom w:val="0"/>
      <w:divBdr>
        <w:top w:val="none" w:sz="0" w:space="0" w:color="auto"/>
        <w:left w:val="none" w:sz="0" w:space="0" w:color="auto"/>
        <w:bottom w:val="none" w:sz="0" w:space="0" w:color="auto"/>
        <w:right w:val="none" w:sz="0" w:space="0" w:color="auto"/>
      </w:divBdr>
      <w:divsChild>
        <w:div w:id="1159151866">
          <w:marLeft w:val="0"/>
          <w:marRight w:val="0"/>
          <w:marTop w:val="0"/>
          <w:marBottom w:val="0"/>
          <w:divBdr>
            <w:top w:val="none" w:sz="0" w:space="0" w:color="auto"/>
            <w:left w:val="none" w:sz="0" w:space="0" w:color="auto"/>
            <w:bottom w:val="none" w:sz="0" w:space="0" w:color="auto"/>
            <w:right w:val="none" w:sz="0" w:space="0" w:color="auto"/>
          </w:divBdr>
          <w:divsChild>
            <w:div w:id="891230495">
              <w:marLeft w:val="0"/>
              <w:marRight w:val="0"/>
              <w:marTop w:val="0"/>
              <w:marBottom w:val="0"/>
              <w:divBdr>
                <w:top w:val="none" w:sz="0" w:space="0" w:color="auto"/>
                <w:left w:val="none" w:sz="0" w:space="0" w:color="auto"/>
                <w:bottom w:val="none" w:sz="0" w:space="0" w:color="auto"/>
                <w:right w:val="none" w:sz="0" w:space="0" w:color="auto"/>
              </w:divBdr>
              <w:divsChild>
                <w:div w:id="2095739730">
                  <w:marLeft w:val="0"/>
                  <w:marRight w:val="0"/>
                  <w:marTop w:val="0"/>
                  <w:marBottom w:val="0"/>
                  <w:divBdr>
                    <w:top w:val="none" w:sz="0" w:space="0" w:color="auto"/>
                    <w:left w:val="none" w:sz="0" w:space="0" w:color="auto"/>
                    <w:bottom w:val="none" w:sz="0" w:space="0" w:color="auto"/>
                    <w:right w:val="none" w:sz="0" w:space="0" w:color="auto"/>
                  </w:divBdr>
                  <w:divsChild>
                    <w:div w:id="1604222638">
                      <w:marLeft w:val="0"/>
                      <w:marRight w:val="0"/>
                      <w:marTop w:val="0"/>
                      <w:marBottom w:val="0"/>
                      <w:divBdr>
                        <w:top w:val="none" w:sz="0" w:space="0" w:color="auto"/>
                        <w:left w:val="none" w:sz="0" w:space="0" w:color="auto"/>
                        <w:bottom w:val="none" w:sz="0" w:space="0" w:color="auto"/>
                        <w:right w:val="none" w:sz="0" w:space="0" w:color="auto"/>
                      </w:divBdr>
                      <w:divsChild>
                        <w:div w:id="1354838716">
                          <w:marLeft w:val="0"/>
                          <w:marRight w:val="0"/>
                          <w:marTop w:val="0"/>
                          <w:marBottom w:val="0"/>
                          <w:divBdr>
                            <w:top w:val="none" w:sz="0" w:space="0" w:color="auto"/>
                            <w:left w:val="none" w:sz="0" w:space="0" w:color="auto"/>
                            <w:bottom w:val="none" w:sz="0" w:space="0" w:color="auto"/>
                            <w:right w:val="none" w:sz="0" w:space="0" w:color="auto"/>
                          </w:divBdr>
                          <w:divsChild>
                            <w:div w:id="1116289103">
                              <w:marLeft w:val="0"/>
                              <w:marRight w:val="0"/>
                              <w:marTop w:val="0"/>
                              <w:marBottom w:val="0"/>
                              <w:divBdr>
                                <w:top w:val="none" w:sz="0" w:space="0" w:color="auto"/>
                                <w:left w:val="none" w:sz="0" w:space="0" w:color="auto"/>
                                <w:bottom w:val="none" w:sz="0" w:space="0" w:color="auto"/>
                                <w:right w:val="none" w:sz="0" w:space="0" w:color="auto"/>
                              </w:divBdr>
                              <w:divsChild>
                                <w:div w:id="1429472465">
                                  <w:marLeft w:val="0"/>
                                  <w:marRight w:val="0"/>
                                  <w:marTop w:val="180"/>
                                  <w:marBottom w:val="0"/>
                                  <w:divBdr>
                                    <w:top w:val="none" w:sz="0" w:space="0" w:color="auto"/>
                                    <w:left w:val="none" w:sz="0" w:space="0" w:color="auto"/>
                                    <w:bottom w:val="none" w:sz="0" w:space="0" w:color="auto"/>
                                    <w:right w:val="none" w:sz="0" w:space="0" w:color="auto"/>
                                  </w:divBdr>
                                  <w:divsChild>
                                    <w:div w:id="1306856711">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1530533546">
      <w:bodyDiv w:val="1"/>
      <w:marLeft w:val="0"/>
      <w:marRight w:val="0"/>
      <w:marTop w:val="0"/>
      <w:marBottom w:val="0"/>
      <w:divBdr>
        <w:top w:val="none" w:sz="0" w:space="0" w:color="auto"/>
        <w:left w:val="none" w:sz="0" w:space="0" w:color="auto"/>
        <w:bottom w:val="none" w:sz="0" w:space="0" w:color="auto"/>
        <w:right w:val="none" w:sz="0" w:space="0" w:color="auto"/>
      </w:divBdr>
      <w:divsChild>
        <w:div w:id="1192106829">
          <w:marLeft w:val="0"/>
          <w:marRight w:val="0"/>
          <w:marTop w:val="0"/>
          <w:marBottom w:val="0"/>
          <w:divBdr>
            <w:top w:val="none" w:sz="0" w:space="0" w:color="auto"/>
            <w:left w:val="none" w:sz="0" w:space="0" w:color="auto"/>
            <w:bottom w:val="none" w:sz="0" w:space="0" w:color="auto"/>
            <w:right w:val="none" w:sz="0" w:space="0" w:color="auto"/>
          </w:divBdr>
          <w:divsChild>
            <w:div w:id="215706323">
              <w:marLeft w:val="0"/>
              <w:marRight w:val="0"/>
              <w:marTop w:val="0"/>
              <w:marBottom w:val="0"/>
              <w:divBdr>
                <w:top w:val="none" w:sz="0" w:space="0" w:color="auto"/>
                <w:left w:val="none" w:sz="0" w:space="0" w:color="auto"/>
                <w:bottom w:val="none" w:sz="0" w:space="0" w:color="auto"/>
                <w:right w:val="none" w:sz="0" w:space="0" w:color="auto"/>
              </w:divBdr>
              <w:divsChild>
                <w:div w:id="6342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24518">
      <w:bodyDiv w:val="1"/>
      <w:marLeft w:val="0"/>
      <w:marRight w:val="0"/>
      <w:marTop w:val="0"/>
      <w:marBottom w:val="0"/>
      <w:divBdr>
        <w:top w:val="none" w:sz="0" w:space="0" w:color="auto"/>
        <w:left w:val="none" w:sz="0" w:space="0" w:color="auto"/>
        <w:bottom w:val="none" w:sz="0" w:space="0" w:color="auto"/>
        <w:right w:val="none" w:sz="0" w:space="0" w:color="auto"/>
      </w:divBdr>
      <w:divsChild>
        <w:div w:id="1865241051">
          <w:marLeft w:val="0"/>
          <w:marRight w:val="0"/>
          <w:marTop w:val="0"/>
          <w:marBottom w:val="0"/>
          <w:divBdr>
            <w:top w:val="none" w:sz="0" w:space="0" w:color="auto"/>
            <w:left w:val="none" w:sz="0" w:space="0" w:color="auto"/>
            <w:bottom w:val="none" w:sz="0" w:space="0" w:color="auto"/>
            <w:right w:val="none" w:sz="0" w:space="0" w:color="auto"/>
          </w:divBdr>
          <w:divsChild>
            <w:div w:id="96215776">
              <w:marLeft w:val="0"/>
              <w:marRight w:val="0"/>
              <w:marTop w:val="0"/>
              <w:marBottom w:val="0"/>
              <w:divBdr>
                <w:top w:val="none" w:sz="0" w:space="0" w:color="auto"/>
                <w:left w:val="none" w:sz="0" w:space="0" w:color="auto"/>
                <w:bottom w:val="none" w:sz="0" w:space="0" w:color="auto"/>
                <w:right w:val="none" w:sz="0" w:space="0" w:color="auto"/>
              </w:divBdr>
              <w:divsChild>
                <w:div w:id="1979993704">
                  <w:marLeft w:val="0"/>
                  <w:marRight w:val="0"/>
                  <w:marTop w:val="0"/>
                  <w:marBottom w:val="0"/>
                  <w:divBdr>
                    <w:top w:val="none" w:sz="0" w:space="0" w:color="auto"/>
                    <w:left w:val="none" w:sz="0" w:space="0" w:color="auto"/>
                    <w:bottom w:val="none" w:sz="0" w:space="0" w:color="auto"/>
                    <w:right w:val="none" w:sz="0" w:space="0" w:color="auto"/>
                  </w:divBdr>
                  <w:divsChild>
                    <w:div w:id="1712654386">
                      <w:marLeft w:val="1"/>
                      <w:marRight w:val="1"/>
                      <w:marTop w:val="0"/>
                      <w:marBottom w:val="0"/>
                      <w:divBdr>
                        <w:top w:val="none" w:sz="0" w:space="0" w:color="auto"/>
                        <w:left w:val="none" w:sz="0" w:space="0" w:color="auto"/>
                        <w:bottom w:val="none" w:sz="0" w:space="0" w:color="auto"/>
                        <w:right w:val="none" w:sz="0" w:space="0" w:color="auto"/>
                      </w:divBdr>
                      <w:divsChild>
                        <w:div w:id="940260499">
                          <w:marLeft w:val="0"/>
                          <w:marRight w:val="0"/>
                          <w:marTop w:val="0"/>
                          <w:marBottom w:val="0"/>
                          <w:divBdr>
                            <w:top w:val="none" w:sz="0" w:space="0" w:color="auto"/>
                            <w:left w:val="none" w:sz="0" w:space="0" w:color="auto"/>
                            <w:bottom w:val="none" w:sz="0" w:space="0" w:color="auto"/>
                            <w:right w:val="none" w:sz="0" w:space="0" w:color="auto"/>
                          </w:divBdr>
                          <w:divsChild>
                            <w:div w:id="19278946">
                              <w:marLeft w:val="0"/>
                              <w:marRight w:val="0"/>
                              <w:marTop w:val="0"/>
                              <w:marBottom w:val="360"/>
                              <w:divBdr>
                                <w:top w:val="none" w:sz="0" w:space="0" w:color="auto"/>
                                <w:left w:val="none" w:sz="0" w:space="0" w:color="auto"/>
                                <w:bottom w:val="none" w:sz="0" w:space="0" w:color="auto"/>
                                <w:right w:val="none" w:sz="0" w:space="0" w:color="auto"/>
                              </w:divBdr>
                              <w:divsChild>
                                <w:div w:id="374932951">
                                  <w:marLeft w:val="0"/>
                                  <w:marRight w:val="0"/>
                                  <w:marTop w:val="0"/>
                                  <w:marBottom w:val="0"/>
                                  <w:divBdr>
                                    <w:top w:val="none" w:sz="0" w:space="0" w:color="auto"/>
                                    <w:left w:val="none" w:sz="0" w:space="0" w:color="auto"/>
                                    <w:bottom w:val="none" w:sz="0" w:space="0" w:color="auto"/>
                                    <w:right w:val="none" w:sz="0" w:space="0" w:color="auto"/>
                                  </w:divBdr>
                                  <w:divsChild>
                                    <w:div w:id="896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088163">
      <w:bodyDiv w:val="1"/>
      <w:marLeft w:val="0"/>
      <w:marRight w:val="0"/>
      <w:marTop w:val="0"/>
      <w:marBottom w:val="0"/>
      <w:divBdr>
        <w:top w:val="none" w:sz="0" w:space="0" w:color="auto"/>
        <w:left w:val="none" w:sz="0" w:space="0" w:color="auto"/>
        <w:bottom w:val="none" w:sz="0" w:space="0" w:color="auto"/>
        <w:right w:val="none" w:sz="0" w:space="0" w:color="auto"/>
      </w:divBdr>
      <w:divsChild>
        <w:div w:id="650064765">
          <w:marLeft w:val="0"/>
          <w:marRight w:val="0"/>
          <w:marTop w:val="0"/>
          <w:marBottom w:val="0"/>
          <w:divBdr>
            <w:top w:val="none" w:sz="0" w:space="0" w:color="auto"/>
            <w:left w:val="none" w:sz="0" w:space="0" w:color="auto"/>
            <w:bottom w:val="none" w:sz="0" w:space="0" w:color="auto"/>
            <w:right w:val="none" w:sz="0" w:space="0" w:color="auto"/>
          </w:divBdr>
          <w:divsChild>
            <w:div w:id="1338073716">
              <w:marLeft w:val="0"/>
              <w:marRight w:val="0"/>
              <w:marTop w:val="0"/>
              <w:marBottom w:val="0"/>
              <w:divBdr>
                <w:top w:val="none" w:sz="0" w:space="0" w:color="auto"/>
                <w:left w:val="none" w:sz="0" w:space="0" w:color="auto"/>
                <w:bottom w:val="none" w:sz="0" w:space="0" w:color="auto"/>
                <w:right w:val="none" w:sz="0" w:space="0" w:color="auto"/>
              </w:divBdr>
              <w:divsChild>
                <w:div w:id="1834107310">
                  <w:marLeft w:val="0"/>
                  <w:marRight w:val="0"/>
                  <w:marTop w:val="0"/>
                  <w:marBottom w:val="0"/>
                  <w:divBdr>
                    <w:top w:val="none" w:sz="0" w:space="0" w:color="auto"/>
                    <w:left w:val="none" w:sz="0" w:space="0" w:color="auto"/>
                    <w:bottom w:val="none" w:sz="0" w:space="0" w:color="auto"/>
                    <w:right w:val="none" w:sz="0" w:space="0" w:color="auto"/>
                  </w:divBdr>
                  <w:divsChild>
                    <w:div w:id="1675066930">
                      <w:marLeft w:val="0"/>
                      <w:marRight w:val="0"/>
                      <w:marTop w:val="0"/>
                      <w:marBottom w:val="0"/>
                      <w:divBdr>
                        <w:top w:val="none" w:sz="0" w:space="0" w:color="auto"/>
                        <w:left w:val="none" w:sz="0" w:space="0" w:color="auto"/>
                        <w:bottom w:val="none" w:sz="0" w:space="0" w:color="auto"/>
                        <w:right w:val="none" w:sz="0" w:space="0" w:color="auto"/>
                      </w:divBdr>
                      <w:divsChild>
                        <w:div w:id="737048036">
                          <w:marLeft w:val="0"/>
                          <w:marRight w:val="0"/>
                          <w:marTop w:val="0"/>
                          <w:marBottom w:val="0"/>
                          <w:divBdr>
                            <w:top w:val="none" w:sz="0" w:space="0" w:color="auto"/>
                            <w:left w:val="none" w:sz="0" w:space="0" w:color="auto"/>
                            <w:bottom w:val="none" w:sz="0" w:space="0" w:color="auto"/>
                            <w:right w:val="none" w:sz="0" w:space="0" w:color="auto"/>
                          </w:divBdr>
                          <w:divsChild>
                            <w:div w:id="916402050">
                              <w:marLeft w:val="0"/>
                              <w:marRight w:val="0"/>
                              <w:marTop w:val="0"/>
                              <w:marBottom w:val="0"/>
                              <w:divBdr>
                                <w:top w:val="none" w:sz="0" w:space="0" w:color="auto"/>
                                <w:left w:val="none" w:sz="0" w:space="0" w:color="auto"/>
                                <w:bottom w:val="none" w:sz="0" w:space="0" w:color="auto"/>
                                <w:right w:val="none" w:sz="0" w:space="0" w:color="auto"/>
                              </w:divBdr>
                              <w:divsChild>
                                <w:div w:id="1928033516">
                                  <w:marLeft w:val="0"/>
                                  <w:marRight w:val="0"/>
                                  <w:marTop w:val="180"/>
                                  <w:marBottom w:val="0"/>
                                  <w:divBdr>
                                    <w:top w:val="none" w:sz="0" w:space="0" w:color="auto"/>
                                    <w:left w:val="none" w:sz="0" w:space="0" w:color="auto"/>
                                    <w:bottom w:val="none" w:sz="0" w:space="0" w:color="auto"/>
                                    <w:right w:val="none" w:sz="0" w:space="0" w:color="auto"/>
                                  </w:divBdr>
                                  <w:divsChild>
                                    <w:div w:id="741757587">
                                      <w:marLeft w:val="0"/>
                                      <w:marRight w:val="0"/>
                                      <w:marTop w:val="0"/>
                                      <w:marBottom w:val="0"/>
                                      <w:divBdr>
                                        <w:top w:val="dashed" w:sz="2" w:space="0" w:color="074A8B"/>
                                        <w:left w:val="dashed" w:sz="2" w:space="0" w:color="074A8B"/>
                                        <w:bottom w:val="dashed" w:sz="6" w:space="14" w:color="074A8B"/>
                                        <w:right w:val="dashed" w:sz="2" w:space="0" w:color="074A8B"/>
                                      </w:divBdr>
                                    </w:div>
                                  </w:divsChild>
                                </w:div>
                              </w:divsChild>
                            </w:div>
                          </w:divsChild>
                        </w:div>
                      </w:divsChild>
                    </w:div>
                  </w:divsChild>
                </w:div>
              </w:divsChild>
            </w:div>
          </w:divsChild>
        </w:div>
      </w:divsChild>
    </w:div>
    <w:div w:id="1595239860">
      <w:bodyDiv w:val="1"/>
      <w:marLeft w:val="0"/>
      <w:marRight w:val="0"/>
      <w:marTop w:val="0"/>
      <w:marBottom w:val="0"/>
      <w:divBdr>
        <w:top w:val="none" w:sz="0" w:space="0" w:color="auto"/>
        <w:left w:val="none" w:sz="0" w:space="0" w:color="auto"/>
        <w:bottom w:val="none" w:sz="0" w:space="0" w:color="auto"/>
        <w:right w:val="none" w:sz="0" w:space="0" w:color="auto"/>
      </w:divBdr>
      <w:divsChild>
        <w:div w:id="835532633">
          <w:marLeft w:val="0"/>
          <w:marRight w:val="0"/>
          <w:marTop w:val="0"/>
          <w:marBottom w:val="0"/>
          <w:divBdr>
            <w:top w:val="single" w:sz="6" w:space="0" w:color="FFFFFF"/>
            <w:left w:val="single" w:sz="6" w:space="0" w:color="FFFFFF"/>
            <w:bottom w:val="none" w:sz="0" w:space="0" w:color="auto"/>
            <w:right w:val="single" w:sz="6" w:space="0" w:color="FFFFFF"/>
          </w:divBdr>
          <w:divsChild>
            <w:div w:id="1259753349">
              <w:marLeft w:val="4344"/>
              <w:marRight w:val="0"/>
              <w:marTop w:val="0"/>
              <w:marBottom w:val="0"/>
              <w:divBdr>
                <w:top w:val="none" w:sz="0" w:space="0" w:color="auto"/>
                <w:left w:val="none" w:sz="0" w:space="0" w:color="auto"/>
                <w:bottom w:val="none" w:sz="0" w:space="0" w:color="auto"/>
                <w:right w:val="none" w:sz="0" w:space="0" w:color="auto"/>
              </w:divBdr>
              <w:divsChild>
                <w:div w:id="1895383560">
                  <w:marLeft w:val="0"/>
                  <w:marRight w:val="0"/>
                  <w:marTop w:val="0"/>
                  <w:marBottom w:val="0"/>
                  <w:divBdr>
                    <w:top w:val="none" w:sz="0" w:space="0" w:color="auto"/>
                    <w:left w:val="none" w:sz="0" w:space="0" w:color="auto"/>
                    <w:bottom w:val="none" w:sz="0" w:space="0" w:color="auto"/>
                    <w:right w:val="none" w:sz="0" w:space="0" w:color="auto"/>
                  </w:divBdr>
                  <w:divsChild>
                    <w:div w:id="6226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4581">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49017685">
      <w:bodyDiv w:val="1"/>
      <w:marLeft w:val="0"/>
      <w:marRight w:val="0"/>
      <w:marTop w:val="0"/>
      <w:marBottom w:val="0"/>
      <w:divBdr>
        <w:top w:val="none" w:sz="0" w:space="0" w:color="auto"/>
        <w:left w:val="none" w:sz="0" w:space="0" w:color="auto"/>
        <w:bottom w:val="none" w:sz="0" w:space="0" w:color="auto"/>
        <w:right w:val="none" w:sz="0" w:space="0" w:color="auto"/>
      </w:divBdr>
    </w:div>
    <w:div w:id="1724333253">
      <w:bodyDiv w:val="1"/>
      <w:marLeft w:val="0"/>
      <w:marRight w:val="0"/>
      <w:marTop w:val="0"/>
      <w:marBottom w:val="0"/>
      <w:divBdr>
        <w:top w:val="none" w:sz="0" w:space="0" w:color="auto"/>
        <w:left w:val="none" w:sz="0" w:space="0" w:color="auto"/>
        <w:bottom w:val="none" w:sz="0" w:space="0" w:color="auto"/>
        <w:right w:val="none" w:sz="0" w:space="0" w:color="auto"/>
      </w:divBdr>
      <w:divsChild>
        <w:div w:id="1418551592">
          <w:marLeft w:val="0"/>
          <w:marRight w:val="0"/>
          <w:marTop w:val="0"/>
          <w:marBottom w:val="0"/>
          <w:divBdr>
            <w:top w:val="single" w:sz="6" w:space="0" w:color="FFFFFF"/>
            <w:left w:val="single" w:sz="6" w:space="0" w:color="FFFFFF"/>
            <w:bottom w:val="none" w:sz="0" w:space="0" w:color="auto"/>
            <w:right w:val="single" w:sz="6" w:space="0" w:color="FFFFFF"/>
          </w:divBdr>
          <w:divsChild>
            <w:div w:id="1761758282">
              <w:marLeft w:val="4344"/>
              <w:marRight w:val="0"/>
              <w:marTop w:val="0"/>
              <w:marBottom w:val="0"/>
              <w:divBdr>
                <w:top w:val="none" w:sz="0" w:space="0" w:color="auto"/>
                <w:left w:val="none" w:sz="0" w:space="0" w:color="auto"/>
                <w:bottom w:val="none" w:sz="0" w:space="0" w:color="auto"/>
                <w:right w:val="none" w:sz="0" w:space="0" w:color="auto"/>
              </w:divBdr>
              <w:divsChild>
                <w:div w:id="1172329310">
                  <w:marLeft w:val="0"/>
                  <w:marRight w:val="0"/>
                  <w:marTop w:val="0"/>
                  <w:marBottom w:val="0"/>
                  <w:divBdr>
                    <w:top w:val="none" w:sz="0" w:space="0" w:color="auto"/>
                    <w:left w:val="none" w:sz="0" w:space="0" w:color="auto"/>
                    <w:bottom w:val="none" w:sz="0" w:space="0" w:color="auto"/>
                    <w:right w:val="none" w:sz="0" w:space="0" w:color="auto"/>
                  </w:divBdr>
                  <w:divsChild>
                    <w:div w:id="20719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839354">
      <w:bodyDiv w:val="1"/>
      <w:marLeft w:val="0"/>
      <w:marRight w:val="0"/>
      <w:marTop w:val="0"/>
      <w:marBottom w:val="0"/>
      <w:divBdr>
        <w:top w:val="none" w:sz="0" w:space="0" w:color="auto"/>
        <w:left w:val="none" w:sz="0" w:space="0" w:color="auto"/>
        <w:bottom w:val="none" w:sz="0" w:space="0" w:color="auto"/>
        <w:right w:val="none" w:sz="0" w:space="0" w:color="auto"/>
      </w:divBdr>
      <w:divsChild>
        <w:div w:id="132527601">
          <w:marLeft w:val="0"/>
          <w:marRight w:val="0"/>
          <w:marTop w:val="0"/>
          <w:marBottom w:val="0"/>
          <w:divBdr>
            <w:top w:val="none" w:sz="0" w:space="0" w:color="auto"/>
            <w:left w:val="none" w:sz="0" w:space="0" w:color="auto"/>
            <w:bottom w:val="none" w:sz="0" w:space="0" w:color="auto"/>
            <w:right w:val="none" w:sz="0" w:space="0" w:color="auto"/>
          </w:divBdr>
          <w:divsChild>
            <w:div w:id="2072848023">
              <w:marLeft w:val="0"/>
              <w:marRight w:val="0"/>
              <w:marTop w:val="0"/>
              <w:marBottom w:val="0"/>
              <w:divBdr>
                <w:top w:val="none" w:sz="0" w:space="0" w:color="auto"/>
                <w:left w:val="none" w:sz="0" w:space="0" w:color="auto"/>
                <w:bottom w:val="none" w:sz="0" w:space="0" w:color="auto"/>
                <w:right w:val="none" w:sz="0" w:space="0" w:color="auto"/>
              </w:divBdr>
              <w:divsChild>
                <w:div w:id="681443448">
                  <w:marLeft w:val="0"/>
                  <w:marRight w:val="0"/>
                  <w:marTop w:val="0"/>
                  <w:marBottom w:val="0"/>
                  <w:divBdr>
                    <w:top w:val="none" w:sz="0" w:space="0" w:color="auto"/>
                    <w:left w:val="none" w:sz="0" w:space="0" w:color="auto"/>
                    <w:bottom w:val="none" w:sz="0" w:space="0" w:color="auto"/>
                    <w:right w:val="none" w:sz="0" w:space="0" w:color="auto"/>
                  </w:divBdr>
                  <w:divsChild>
                    <w:div w:id="1808550972">
                      <w:marLeft w:val="960"/>
                      <w:marRight w:val="120"/>
                      <w:marTop w:val="0"/>
                      <w:marBottom w:val="288"/>
                      <w:divBdr>
                        <w:top w:val="none" w:sz="0" w:space="0" w:color="auto"/>
                        <w:left w:val="none" w:sz="0" w:space="0" w:color="auto"/>
                        <w:bottom w:val="none" w:sz="0" w:space="0" w:color="auto"/>
                        <w:right w:val="none" w:sz="0" w:space="0" w:color="auto"/>
                      </w:divBdr>
                      <w:divsChild>
                        <w:div w:id="165216712">
                          <w:marLeft w:val="0"/>
                          <w:marRight w:val="0"/>
                          <w:marTop w:val="0"/>
                          <w:marBottom w:val="0"/>
                          <w:divBdr>
                            <w:top w:val="none" w:sz="0" w:space="0" w:color="auto"/>
                            <w:left w:val="none" w:sz="0" w:space="0" w:color="auto"/>
                            <w:bottom w:val="none" w:sz="0" w:space="0" w:color="auto"/>
                            <w:right w:val="none" w:sz="0" w:space="0" w:color="auto"/>
                          </w:divBdr>
                          <w:divsChild>
                            <w:div w:id="1676763273">
                              <w:marLeft w:val="0"/>
                              <w:marRight w:val="0"/>
                              <w:marTop w:val="240"/>
                              <w:marBottom w:val="0"/>
                              <w:divBdr>
                                <w:top w:val="none" w:sz="0" w:space="0" w:color="auto"/>
                                <w:left w:val="none" w:sz="0" w:space="0" w:color="auto"/>
                                <w:bottom w:val="none" w:sz="0" w:space="0" w:color="auto"/>
                                <w:right w:val="none" w:sz="0" w:space="0" w:color="auto"/>
                              </w:divBdr>
                              <w:divsChild>
                                <w:div w:id="2603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207597">
      <w:bodyDiv w:val="1"/>
      <w:marLeft w:val="0"/>
      <w:marRight w:val="0"/>
      <w:marTop w:val="0"/>
      <w:marBottom w:val="0"/>
      <w:divBdr>
        <w:top w:val="none" w:sz="0" w:space="0" w:color="auto"/>
        <w:left w:val="none" w:sz="0" w:space="0" w:color="auto"/>
        <w:bottom w:val="none" w:sz="0" w:space="0" w:color="auto"/>
        <w:right w:val="none" w:sz="0" w:space="0" w:color="auto"/>
      </w:divBdr>
      <w:divsChild>
        <w:div w:id="1233465046">
          <w:marLeft w:val="0"/>
          <w:marRight w:val="0"/>
          <w:marTop w:val="0"/>
          <w:marBottom w:val="0"/>
          <w:divBdr>
            <w:top w:val="none" w:sz="0" w:space="0" w:color="auto"/>
            <w:left w:val="single" w:sz="6" w:space="0" w:color="DDDDDD"/>
            <w:bottom w:val="none" w:sz="0" w:space="0" w:color="auto"/>
            <w:right w:val="none" w:sz="0" w:space="0" w:color="auto"/>
          </w:divBdr>
          <w:divsChild>
            <w:div w:id="1027948480">
              <w:marLeft w:val="0"/>
              <w:marRight w:val="0"/>
              <w:marTop w:val="0"/>
              <w:marBottom w:val="0"/>
              <w:divBdr>
                <w:top w:val="single" w:sz="2" w:space="0" w:color="008000"/>
                <w:left w:val="single" w:sz="2" w:space="0" w:color="008000"/>
                <w:bottom w:val="single" w:sz="2" w:space="0" w:color="008000"/>
                <w:right w:val="single" w:sz="2" w:space="0" w:color="008000"/>
              </w:divBdr>
              <w:divsChild>
                <w:div w:id="163906812">
                  <w:marLeft w:val="0"/>
                  <w:marRight w:val="0"/>
                  <w:marTop w:val="0"/>
                  <w:marBottom w:val="0"/>
                  <w:divBdr>
                    <w:top w:val="none" w:sz="0" w:space="0" w:color="auto"/>
                    <w:left w:val="none" w:sz="0" w:space="0" w:color="auto"/>
                    <w:bottom w:val="none" w:sz="0" w:space="0" w:color="auto"/>
                    <w:right w:val="none" w:sz="0" w:space="0" w:color="auto"/>
                  </w:divBdr>
                  <w:divsChild>
                    <w:div w:id="1993943844">
                      <w:marLeft w:val="0"/>
                      <w:marRight w:val="0"/>
                      <w:marTop w:val="0"/>
                      <w:marBottom w:val="0"/>
                      <w:divBdr>
                        <w:top w:val="none" w:sz="0" w:space="0" w:color="auto"/>
                        <w:left w:val="none" w:sz="0" w:space="0" w:color="auto"/>
                        <w:bottom w:val="none" w:sz="0" w:space="0" w:color="auto"/>
                        <w:right w:val="none" w:sz="0" w:space="0" w:color="auto"/>
                      </w:divBdr>
                      <w:divsChild>
                        <w:div w:id="1910847411">
                          <w:marLeft w:val="720"/>
                          <w:marRight w:val="720"/>
                          <w:marTop w:val="0"/>
                          <w:marBottom w:val="0"/>
                          <w:divBdr>
                            <w:top w:val="none" w:sz="0" w:space="0" w:color="auto"/>
                            <w:left w:val="none" w:sz="0" w:space="0" w:color="auto"/>
                            <w:bottom w:val="none" w:sz="0" w:space="0" w:color="auto"/>
                            <w:right w:val="none" w:sz="0" w:space="0" w:color="auto"/>
                          </w:divBdr>
                          <w:divsChild>
                            <w:div w:id="2025281625">
                              <w:marLeft w:val="0"/>
                              <w:marRight w:val="0"/>
                              <w:marTop w:val="0"/>
                              <w:marBottom w:val="0"/>
                              <w:divBdr>
                                <w:top w:val="none" w:sz="0" w:space="0" w:color="auto"/>
                                <w:left w:val="none" w:sz="0" w:space="0" w:color="auto"/>
                                <w:bottom w:val="none" w:sz="0" w:space="0" w:color="auto"/>
                                <w:right w:val="none" w:sz="0" w:space="0" w:color="auto"/>
                              </w:divBdr>
                              <w:divsChild>
                                <w:div w:id="896622558">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87541160">
      <w:bodyDiv w:val="1"/>
      <w:marLeft w:val="0"/>
      <w:marRight w:val="0"/>
      <w:marTop w:val="0"/>
      <w:marBottom w:val="0"/>
      <w:divBdr>
        <w:top w:val="none" w:sz="0" w:space="0" w:color="auto"/>
        <w:left w:val="none" w:sz="0" w:space="0" w:color="auto"/>
        <w:bottom w:val="none" w:sz="0" w:space="0" w:color="auto"/>
        <w:right w:val="none" w:sz="0" w:space="0" w:color="auto"/>
      </w:divBdr>
      <w:divsChild>
        <w:div w:id="512569027">
          <w:marLeft w:val="0"/>
          <w:marRight w:val="0"/>
          <w:marTop w:val="0"/>
          <w:marBottom w:val="0"/>
          <w:divBdr>
            <w:top w:val="none" w:sz="0" w:space="0" w:color="auto"/>
            <w:left w:val="single" w:sz="6" w:space="0" w:color="DDDDDD"/>
            <w:bottom w:val="none" w:sz="0" w:space="0" w:color="auto"/>
            <w:right w:val="none" w:sz="0" w:space="0" w:color="auto"/>
          </w:divBdr>
          <w:divsChild>
            <w:div w:id="22562798">
              <w:marLeft w:val="0"/>
              <w:marRight w:val="0"/>
              <w:marTop w:val="0"/>
              <w:marBottom w:val="0"/>
              <w:divBdr>
                <w:top w:val="single" w:sz="2" w:space="0" w:color="008000"/>
                <w:left w:val="single" w:sz="2" w:space="0" w:color="008000"/>
                <w:bottom w:val="single" w:sz="2" w:space="0" w:color="008000"/>
                <w:right w:val="single" w:sz="2" w:space="0" w:color="008000"/>
              </w:divBdr>
              <w:divsChild>
                <w:div w:id="1328172581">
                  <w:marLeft w:val="0"/>
                  <w:marRight w:val="0"/>
                  <w:marTop w:val="0"/>
                  <w:marBottom w:val="0"/>
                  <w:divBdr>
                    <w:top w:val="none" w:sz="0" w:space="0" w:color="auto"/>
                    <w:left w:val="none" w:sz="0" w:space="0" w:color="auto"/>
                    <w:bottom w:val="none" w:sz="0" w:space="0" w:color="auto"/>
                    <w:right w:val="none" w:sz="0" w:space="0" w:color="auto"/>
                  </w:divBdr>
                  <w:divsChild>
                    <w:div w:id="1283851697">
                      <w:marLeft w:val="0"/>
                      <w:marRight w:val="0"/>
                      <w:marTop w:val="0"/>
                      <w:marBottom w:val="0"/>
                      <w:divBdr>
                        <w:top w:val="none" w:sz="0" w:space="0" w:color="auto"/>
                        <w:left w:val="none" w:sz="0" w:space="0" w:color="auto"/>
                        <w:bottom w:val="none" w:sz="0" w:space="0" w:color="auto"/>
                        <w:right w:val="none" w:sz="0" w:space="0" w:color="auto"/>
                      </w:divBdr>
                      <w:divsChild>
                        <w:div w:id="1204948291">
                          <w:marLeft w:val="720"/>
                          <w:marRight w:val="720"/>
                          <w:marTop w:val="0"/>
                          <w:marBottom w:val="0"/>
                          <w:divBdr>
                            <w:top w:val="none" w:sz="0" w:space="0" w:color="auto"/>
                            <w:left w:val="none" w:sz="0" w:space="0" w:color="auto"/>
                            <w:bottom w:val="none" w:sz="0" w:space="0" w:color="auto"/>
                            <w:right w:val="none" w:sz="0" w:space="0" w:color="auto"/>
                          </w:divBdr>
                          <w:divsChild>
                            <w:div w:id="450635961">
                              <w:marLeft w:val="0"/>
                              <w:marRight w:val="0"/>
                              <w:marTop w:val="0"/>
                              <w:marBottom w:val="0"/>
                              <w:divBdr>
                                <w:top w:val="none" w:sz="0" w:space="0" w:color="auto"/>
                                <w:left w:val="none" w:sz="0" w:space="0" w:color="auto"/>
                                <w:bottom w:val="none" w:sz="0" w:space="0" w:color="auto"/>
                                <w:right w:val="none" w:sz="0" w:space="0" w:color="auto"/>
                              </w:divBdr>
                              <w:divsChild>
                                <w:div w:id="1746024769">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1993635928">
      <w:bodyDiv w:val="1"/>
      <w:marLeft w:val="0"/>
      <w:marRight w:val="0"/>
      <w:marTop w:val="0"/>
      <w:marBottom w:val="0"/>
      <w:divBdr>
        <w:top w:val="none" w:sz="0" w:space="0" w:color="auto"/>
        <w:left w:val="none" w:sz="0" w:space="0" w:color="auto"/>
        <w:bottom w:val="none" w:sz="0" w:space="0" w:color="auto"/>
        <w:right w:val="none" w:sz="0" w:space="0" w:color="auto"/>
      </w:divBdr>
      <w:divsChild>
        <w:div w:id="981425608">
          <w:marLeft w:val="0"/>
          <w:marRight w:val="0"/>
          <w:marTop w:val="0"/>
          <w:marBottom w:val="0"/>
          <w:divBdr>
            <w:top w:val="none" w:sz="0" w:space="0" w:color="auto"/>
            <w:left w:val="single" w:sz="6" w:space="0" w:color="DDDDDD"/>
            <w:bottom w:val="none" w:sz="0" w:space="0" w:color="auto"/>
            <w:right w:val="none" w:sz="0" w:space="0" w:color="auto"/>
          </w:divBdr>
          <w:divsChild>
            <w:div w:id="202644033">
              <w:marLeft w:val="0"/>
              <w:marRight w:val="0"/>
              <w:marTop w:val="0"/>
              <w:marBottom w:val="0"/>
              <w:divBdr>
                <w:top w:val="single" w:sz="2" w:space="0" w:color="008000"/>
                <w:left w:val="single" w:sz="2" w:space="0" w:color="008000"/>
                <w:bottom w:val="single" w:sz="2" w:space="0" w:color="008000"/>
                <w:right w:val="single" w:sz="2" w:space="0" w:color="008000"/>
              </w:divBdr>
              <w:divsChild>
                <w:div w:id="369494314">
                  <w:marLeft w:val="0"/>
                  <w:marRight w:val="0"/>
                  <w:marTop w:val="0"/>
                  <w:marBottom w:val="0"/>
                  <w:divBdr>
                    <w:top w:val="none" w:sz="0" w:space="0" w:color="auto"/>
                    <w:left w:val="none" w:sz="0" w:space="0" w:color="auto"/>
                    <w:bottom w:val="none" w:sz="0" w:space="0" w:color="auto"/>
                    <w:right w:val="none" w:sz="0" w:space="0" w:color="auto"/>
                  </w:divBdr>
                  <w:divsChild>
                    <w:div w:id="1589580468">
                      <w:marLeft w:val="0"/>
                      <w:marRight w:val="0"/>
                      <w:marTop w:val="0"/>
                      <w:marBottom w:val="0"/>
                      <w:divBdr>
                        <w:top w:val="none" w:sz="0" w:space="0" w:color="auto"/>
                        <w:left w:val="none" w:sz="0" w:space="0" w:color="auto"/>
                        <w:bottom w:val="none" w:sz="0" w:space="0" w:color="auto"/>
                        <w:right w:val="none" w:sz="0" w:space="0" w:color="auto"/>
                      </w:divBdr>
                      <w:divsChild>
                        <w:div w:id="1582524362">
                          <w:marLeft w:val="720"/>
                          <w:marRight w:val="720"/>
                          <w:marTop w:val="0"/>
                          <w:marBottom w:val="0"/>
                          <w:divBdr>
                            <w:top w:val="none" w:sz="0" w:space="0" w:color="auto"/>
                            <w:left w:val="none" w:sz="0" w:space="0" w:color="auto"/>
                            <w:bottom w:val="none" w:sz="0" w:space="0" w:color="auto"/>
                            <w:right w:val="none" w:sz="0" w:space="0" w:color="auto"/>
                          </w:divBdr>
                          <w:divsChild>
                            <w:div w:id="1304309552">
                              <w:marLeft w:val="0"/>
                              <w:marRight w:val="0"/>
                              <w:marTop w:val="0"/>
                              <w:marBottom w:val="0"/>
                              <w:divBdr>
                                <w:top w:val="none" w:sz="0" w:space="0" w:color="auto"/>
                                <w:left w:val="none" w:sz="0" w:space="0" w:color="auto"/>
                                <w:bottom w:val="none" w:sz="0" w:space="0" w:color="auto"/>
                                <w:right w:val="none" w:sz="0" w:space="0" w:color="auto"/>
                              </w:divBdr>
                              <w:divsChild>
                                <w:div w:id="1694116429">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2034114021">
      <w:bodyDiv w:val="1"/>
      <w:marLeft w:val="0"/>
      <w:marRight w:val="0"/>
      <w:marTop w:val="0"/>
      <w:marBottom w:val="0"/>
      <w:divBdr>
        <w:top w:val="none" w:sz="0" w:space="0" w:color="auto"/>
        <w:left w:val="none" w:sz="0" w:space="0" w:color="auto"/>
        <w:bottom w:val="none" w:sz="0" w:space="0" w:color="auto"/>
        <w:right w:val="none" w:sz="0" w:space="0" w:color="auto"/>
      </w:divBdr>
    </w:div>
    <w:div w:id="2112623517">
      <w:bodyDiv w:val="1"/>
      <w:marLeft w:val="0"/>
      <w:marRight w:val="0"/>
      <w:marTop w:val="0"/>
      <w:marBottom w:val="0"/>
      <w:divBdr>
        <w:top w:val="none" w:sz="0" w:space="0" w:color="auto"/>
        <w:left w:val="none" w:sz="0" w:space="0" w:color="auto"/>
        <w:bottom w:val="none" w:sz="0" w:space="0" w:color="auto"/>
        <w:right w:val="none" w:sz="0" w:space="0" w:color="auto"/>
      </w:divBdr>
      <w:divsChild>
        <w:div w:id="1635722095">
          <w:marLeft w:val="0"/>
          <w:marRight w:val="0"/>
          <w:marTop w:val="0"/>
          <w:marBottom w:val="0"/>
          <w:divBdr>
            <w:top w:val="none" w:sz="0" w:space="0" w:color="auto"/>
            <w:left w:val="single" w:sz="6" w:space="0" w:color="DDDDDD"/>
            <w:bottom w:val="none" w:sz="0" w:space="0" w:color="auto"/>
            <w:right w:val="none" w:sz="0" w:space="0" w:color="auto"/>
          </w:divBdr>
          <w:divsChild>
            <w:div w:id="1878397255">
              <w:marLeft w:val="0"/>
              <w:marRight w:val="0"/>
              <w:marTop w:val="0"/>
              <w:marBottom w:val="0"/>
              <w:divBdr>
                <w:top w:val="single" w:sz="2" w:space="0" w:color="008000"/>
                <w:left w:val="single" w:sz="2" w:space="0" w:color="008000"/>
                <w:bottom w:val="single" w:sz="2" w:space="0" w:color="008000"/>
                <w:right w:val="single" w:sz="2" w:space="0" w:color="008000"/>
              </w:divBdr>
              <w:divsChild>
                <w:div w:id="876897540">
                  <w:marLeft w:val="0"/>
                  <w:marRight w:val="0"/>
                  <w:marTop w:val="0"/>
                  <w:marBottom w:val="0"/>
                  <w:divBdr>
                    <w:top w:val="none" w:sz="0" w:space="0" w:color="auto"/>
                    <w:left w:val="none" w:sz="0" w:space="0" w:color="auto"/>
                    <w:bottom w:val="none" w:sz="0" w:space="0" w:color="auto"/>
                    <w:right w:val="none" w:sz="0" w:space="0" w:color="auto"/>
                  </w:divBdr>
                  <w:divsChild>
                    <w:div w:id="2001930042">
                      <w:marLeft w:val="0"/>
                      <w:marRight w:val="0"/>
                      <w:marTop w:val="0"/>
                      <w:marBottom w:val="0"/>
                      <w:divBdr>
                        <w:top w:val="none" w:sz="0" w:space="0" w:color="auto"/>
                        <w:left w:val="none" w:sz="0" w:space="0" w:color="auto"/>
                        <w:bottom w:val="none" w:sz="0" w:space="0" w:color="auto"/>
                        <w:right w:val="none" w:sz="0" w:space="0" w:color="auto"/>
                      </w:divBdr>
                      <w:divsChild>
                        <w:div w:id="1896623937">
                          <w:marLeft w:val="720"/>
                          <w:marRight w:val="720"/>
                          <w:marTop w:val="0"/>
                          <w:marBottom w:val="0"/>
                          <w:divBdr>
                            <w:top w:val="none" w:sz="0" w:space="0" w:color="auto"/>
                            <w:left w:val="none" w:sz="0" w:space="0" w:color="auto"/>
                            <w:bottom w:val="none" w:sz="0" w:space="0" w:color="auto"/>
                            <w:right w:val="none" w:sz="0" w:space="0" w:color="auto"/>
                          </w:divBdr>
                          <w:divsChild>
                            <w:div w:id="562719621">
                              <w:marLeft w:val="0"/>
                              <w:marRight w:val="0"/>
                              <w:marTop w:val="0"/>
                              <w:marBottom w:val="0"/>
                              <w:divBdr>
                                <w:top w:val="none" w:sz="0" w:space="0" w:color="auto"/>
                                <w:left w:val="none" w:sz="0" w:space="0" w:color="auto"/>
                                <w:bottom w:val="none" w:sz="0" w:space="0" w:color="auto"/>
                                <w:right w:val="none" w:sz="0" w:space="0" w:color="auto"/>
                              </w:divBdr>
                              <w:divsChild>
                                <w:div w:id="65685083">
                                  <w:marLeft w:val="0"/>
                                  <w:marRight w:val="0"/>
                                  <w:marTop w:val="0"/>
                                  <w:marBottom w:val="480"/>
                                  <w:divBdr>
                                    <w:top w:val="none" w:sz="0" w:space="0" w:color="auto"/>
                                    <w:left w:val="none" w:sz="0" w:space="0" w:color="auto"/>
                                    <w:bottom w:val="single" w:sz="2" w:space="0" w:color="123A63"/>
                                    <w:right w:val="none" w:sz="0" w:space="0" w:color="auto"/>
                                  </w:divBdr>
                                </w:div>
                              </w:divsChild>
                            </w:div>
                          </w:divsChild>
                        </w:div>
                      </w:divsChild>
                    </w:div>
                  </w:divsChild>
                </w:div>
              </w:divsChild>
            </w:div>
          </w:divsChild>
        </w:div>
      </w:divsChild>
    </w:div>
    <w:div w:id="2118795121">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s://d.docs.live.net/d26b3cc2c19e6f80/Resumen.docx"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s://d.docs.live.net/d26b3cc2c19e6f80/Resumen.docx" TargetMode="External"/><Relationship Id="rId47" Type="http://schemas.openxmlformats.org/officeDocument/2006/relationships/hyperlink" Target="https://d.docs.live.net/d26b3cc2c19e6f80/Resumen.docx" TargetMode="External"/><Relationship Id="rId50" Type="http://schemas.openxmlformats.org/officeDocument/2006/relationships/hyperlink" Target="https://d.docs.live.net/d26b3cc2c19e6f80/Resumen.docx" TargetMode="External"/><Relationship Id="rId55"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en.wikipedia.org/wiki/File:Granted_EP_patents_2013_per_country_of_residence_of_the_applicant.svg"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d.docs.live.net/d26b3cc2c19e6f80/Resumen.docx" TargetMode="External"/><Relationship Id="rId46" Type="http://schemas.openxmlformats.org/officeDocument/2006/relationships/hyperlink" Target="https://d.docs.live.net/d26b3cc2c19e6f80/Resumen.docx"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hyperlink" Target="https://d.docs.live.net/d26b3cc2c19e6f80/Resumen.docx"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19.png"/><Relationship Id="rId37" Type="http://schemas.openxmlformats.org/officeDocument/2006/relationships/hyperlink" Target="https://d.docs.live.net/d26b3cc2c19e6f80/Resumen.docx" TargetMode="External"/><Relationship Id="rId40" Type="http://schemas.openxmlformats.org/officeDocument/2006/relationships/hyperlink" Target="https://d.docs.live.net/d26b3cc2c19e6f80/Resumen.docx" TargetMode="External"/><Relationship Id="rId45" Type="http://schemas.openxmlformats.org/officeDocument/2006/relationships/hyperlink" Target="https://d.docs.live.net/d26b3cc2c19e6f80/Resumen.docx" TargetMode="External"/><Relationship Id="rId53" Type="http://schemas.openxmlformats.org/officeDocument/2006/relationships/hyperlink" Target="https://d.docs.live.net/d26b3cc2c19e6f80/Resumen.docx"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s://d.docs.live.net/d26b3cc2c19e6f80/Resumen.docx" TargetMode="External"/><Relationship Id="rId57"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d.docs.live.net/d26b3cc2c19e6f80/Resumen.docx" TargetMode="External"/><Relationship Id="rId52" Type="http://schemas.openxmlformats.org/officeDocument/2006/relationships/hyperlink" Target="https://d.docs.live.net/d26b3cc2c19e6f80/Resumen.doc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microsoft.com/office/2007/relationships/hdphoto" Target="media/hdphoto1.wdp"/><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22.jpeg"/><Relationship Id="rId43" Type="http://schemas.openxmlformats.org/officeDocument/2006/relationships/hyperlink" Target="https://d.docs.live.net/d26b3cc2c19e6f80/Resumen.docx" TargetMode="External"/><Relationship Id="rId48" Type="http://schemas.openxmlformats.org/officeDocument/2006/relationships/hyperlink" Target="https://d.docs.live.net/d26b3cc2c19e6f80/Resumen.docx"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d.docs.live.net/d26b3cc2c19e6f80/Resumen.docx"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rique\AppData\Roaming\Microsoft\Plantillas\Informe%20profesional%20(dise&#241;o%20gr&#225;fic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3AC3470-F3C3-4D8D-B199-A3D14F087F2A}">
  <we:reference id="wa102918273" version="1.0.0.0" store="es-ES" storeType="OMEX"/>
  <we:alternateReferences>
    <we:reference id="WA102918273" version="1.0.0.0" store="WA102918273"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07F2D8F-11BA-442D-B712-09B729FFF837}">
  <we:reference id="wa104079622" version="1.0.0.0" store="es-ES" storeType="OMEX"/>
  <we:alternateReferences>
    <we:reference id="WA104079622" version="1.0.0.0" store="WA10407962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BA3BDC58-6774-4B69-867C-B28366A17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profesional (diseño gráfico)</Template>
  <TotalTime>0</TotalTime>
  <Pages>1</Pages>
  <Words>15715</Words>
  <Characters>86436</Characters>
  <Application>Microsoft Office Word</Application>
  <DocSecurity>0</DocSecurity>
  <Lines>720</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101948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2014-10-08T14:49:00Z</dcterms:created>
  <dcterms:modified xsi:type="dcterms:W3CDTF">2014-10-08T14:52:00Z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